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Grupo Bimbo (BMV: BIMBO A) — valuación consolidada de los tres modelos del equipo (borrador del asistente, 19-oct-2026)</w:t>
      </w:r>
    </w:p>
    <w:p>
      <w:pPr>
        <w:ind w:left="340"/>
      </w:pPr>
      <w:r>
        <w:rPr>
          <w:b/>
          <w:color w:val="595959"/>
          <w:sz w:val="19"/>
        </w:rPr>
        <w:t>Estado:</w:t>
      </w:r>
      <w:r>
        <w:rPr>
          <w:color w:val="595959"/>
          <w:sz w:val="19"/>
        </w:rPr>
        <w:t xml:space="preserve"> propuesta del asistente construida con los tres DCF del equipo.</w:t>
      </w:r>
    </w:p>
    <w:p>
      <w:pPr>
        <w:pStyle w:val="ListBullet2"/>
      </w:pPr>
      <w:r>
        <w:rPr>
          <w:color w:val="595959"/>
          <w:sz w:val="19"/>
        </w:rPr>
        <w:t xml:space="preserve">No cambia ningún archivo de la v3: </w:t>
      </w:r>
      <w:r>
        <w:rPr>
          <w:rFonts w:ascii="Consolas" w:hAnsi="Consolas"/>
          <w:color w:val="595959"/>
          <w:sz w:val="17"/>
        </w:rPr>
        <w:t>valuation.md</w:t>
      </w:r>
      <w:r>
        <w:rPr>
          <w:color w:val="595959"/>
          <w:sz w:val="19"/>
        </w:rPr>
        <w:t xml:space="preserve">, </w:t>
      </w:r>
      <w:r>
        <w:rPr>
          <w:rFonts w:ascii="Consolas" w:hAnsi="Consolas"/>
          <w:color w:val="595959"/>
          <w:sz w:val="17"/>
        </w:rPr>
        <w:t>valuation.yaml</w:t>
      </w:r>
      <w:r>
        <w:rPr>
          <w:color w:val="595959"/>
          <w:sz w:val="19"/>
        </w:rPr>
        <w:t xml:space="preserve"> y la compuerta de publicación </w:t>
      </w:r>
      <w:r>
        <w:rPr>
          <w:rFonts w:ascii="Consolas" w:hAnsi="Consolas"/>
          <w:color w:val="595959"/>
          <w:sz w:val="17"/>
        </w:rPr>
        <w:t>valuation-outputs.yaml</w:t>
      </w:r>
      <w:r>
        <w:rPr>
          <w:color w:val="595959"/>
          <w:sz w:val="19"/>
        </w:rPr>
        <w:t xml:space="preserve"> siguen como se publicaron.</w:t>
      </w:r>
    </w:p>
    <w:p>
      <w:pPr>
        <w:pStyle w:val="ListBullet2"/>
      </w:pPr>
      <w:r>
        <w:rPr>
          <w:color w:val="595959"/>
          <w:sz w:val="19"/>
        </w:rPr>
        <w:t>El precio objetivo y la recomendación son decisión del equipo.</w:t>
      </w:r>
    </w:p>
    <w:p>
      <w:pPr>
        <w:pStyle w:val="ListBullet2"/>
      </w:pPr>
      <w:r>
        <w:rPr>
          <w:color w:val="595959"/>
          <w:sz w:val="19"/>
        </w:rPr>
        <w:t>Valores por acción en MXN al 16-oct-2026 (precio 58.60), salvo indicación. Montos en millones de MXN.</w:t>
      </w:r>
    </w:p>
    <w:p>
      <w:pPr>
        <w:pStyle w:val="ListBullet2"/>
      </w:pPr>
      <w:r>
        <w:rPr>
          <w:color w:val="595959"/>
          <w:sz w:val="19"/>
        </w:rPr>
        <w:t xml:space="preserve">Versión en inglés (la canónica para el reporte): </w:t>
      </w:r>
      <w:r>
        <w:rPr>
          <w:rFonts w:ascii="Consolas" w:hAnsi="Consolas"/>
          <w:color w:val="595959"/>
          <w:sz w:val="17"/>
        </w:rPr>
        <w:t>valuation/consolidated-valuation.md</w:t>
      </w:r>
      <w:r>
        <w:rPr>
          <w:color w:val="595959"/>
          <w:sz w:val="19"/>
        </w:rPr>
        <w:t>.</w:t>
      </w:r>
    </w:p>
    <w:p>
      <w:pPr>
        <w:pStyle w:val="Heading1"/>
        <w:keepNext/>
      </w:pPr>
      <w:r>
        <w:rPr/>
        <w:t>Archivos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true"/>
          <w:tblHeader w:val="true"/>
        </w:trPr>
        <w:tc>
          <w:tcPr>
            <w:tcW w:type="dxa" w:w="4880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5092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Qué contiene</w:t>
            </w:r>
          </w:p>
        </w:tc>
      </w:tr>
      <w:tr>
        <w:trPr>
          <w:cantSplit w:val="true"/>
        </w:trPr>
        <w:tc>
          <w:tcPr>
            <w:tcW w:type="dxa" w:w="4880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color w:val="7F3F00"/>
                <w:sz w:val="15"/>
              </w:rPr>
              <w:t>valuation/BIMBOA_DCF_consolidated_v1.xlsx</w:t>
            </w:r>
          </w:p>
        </w:tc>
        <w:tc>
          <w:tcPr>
            <w:tcW w:type="dxa" w:w="509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Fórmulas vivas, recalculadas en Excel: 328 celdas con fórmula, 0 errores, todos los controles en OK</w:t>
            </w:r>
          </w:p>
        </w:tc>
      </w:tr>
      <w:tr>
        <w:trPr>
          <w:cantSplit w:val="true"/>
        </w:trPr>
        <w:tc>
          <w:tcPr>
            <w:tcW w:type="dxa" w:w="4880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color w:val="7F3F00"/>
                <w:sz w:val="15"/>
              </w:rPr>
              <w:t>valuation/build/consolidate_models.py</w:t>
            </w:r>
          </w:p>
        </w:tc>
        <w:tc>
          <w:tcPr>
            <w:tcW w:type="dxa" w:w="509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Réplica de los libros de los dos compañeros, los puentes de valor y la consolidación</w:t>
            </w:r>
          </w:p>
        </w:tc>
      </w:tr>
      <w:tr>
        <w:trPr>
          <w:cantSplit w:val="true"/>
        </w:trPr>
        <w:tc>
          <w:tcPr>
            <w:tcW w:type="dxa" w:w="4880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color w:val="7F3F00"/>
                <w:sz w:val="15"/>
              </w:rPr>
              <w:t>valuation/build/build_consolidated_workbook.py</w:t>
            </w:r>
          </w:p>
        </w:tc>
        <w:tc>
          <w:tcPr>
            <w:tcW w:type="dxa" w:w="509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Construye el libro de Excel</w:t>
            </w:r>
          </w:p>
        </w:tc>
      </w:tr>
      <w:tr>
        <w:trPr>
          <w:cantSplit w:val="true"/>
        </w:trPr>
        <w:tc>
          <w:tcPr>
            <w:tcW w:type="dxa" w:w="4880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color w:val="7F3F00"/>
                <w:sz w:val="15"/>
              </w:rPr>
              <w:t>valuation/inputs/consolidated_results.json</w:t>
            </w:r>
          </w:p>
        </w:tc>
        <w:tc>
          <w:tcPr>
            <w:tcW w:type="dxa" w:w="509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Todos los resultados</w:t>
            </w:r>
          </w:p>
        </w:tc>
      </w:tr>
      <w:tr>
        <w:trPr>
          <w:cantSplit w:val="true"/>
        </w:trPr>
        <w:tc>
          <w:tcPr>
            <w:tcW w:type="dxa" w:w="4880"/>
          </w:tcPr>
          <w:p>
            <w:pPr>
              <w:keepNext w:val="0"/>
              <w:spacing w:after="0"/>
            </w:pPr>
            <w:r/>
            <w:r>
              <w:rPr>
                <w:rFonts w:ascii="Consolas" w:hAnsi="Consolas"/>
                <w:color w:val="7F3F00"/>
                <w:sz w:val="15"/>
              </w:rPr>
              <w:t>valuation/team-models/</w:t>
            </w:r>
          </w:p>
        </w:tc>
        <w:tc>
          <w:tcPr>
            <w:tcW w:type="dxa" w:w="509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Copias de los archivos de Diego y de Alejandro (los originales en Descargas no se tocaron)</w:t>
            </w:r>
          </w:p>
        </w:tc>
      </w:tr>
    </w:tbl>
    <w:p>
      <w:pPr>
        <w:spacing w:after="40"/>
      </w:pPr>
    </w:p>
    <w:p>
      <w:r>
        <w:rPr>
          <w:b/>
        </w:rPr>
        <w:t>Verificación:</w:t>
      </w:r>
      <w:r>
        <w:rPr/>
        <w:t xml:space="preserve"> la réplica reproduce el 47.13 (múltiplo) y el 36.91 (Gordon) de Alejandro, y el 54.94 de Diego, a partir de sus propios supuestos. La diferencia es 0.00 </w:t>
      </w:r>
      <w:r>
        <w:rPr>
          <w:rFonts w:ascii="Consolas" w:hAnsi="Consolas"/>
          <w:color w:val="7F3F00"/>
          <w:sz w:val="18"/>
        </w:rPr>
        <w:t>[calc]</w:t>
      </w:r>
      <w:r>
        <w:rPr/>
        <w:t>.</w:t>
      </w:r>
    </w:p>
    <w:p>
      <w:pPr>
        <w:pStyle w:val="Heading1"/>
      </w:pPr>
      <w:r>
        <w:rPr/>
        <w:t>0. Conclusión</w:t>
      </w:r>
    </w:p>
    <w:p>
      <w:pPr>
        <w:tabs>
          <w:tab w:pos="369" w:val="left"/>
        </w:tabs>
        <w:ind w:left="369" w:hanging="369"/>
      </w:pPr>
      <w:r>
        <w:rPr/>
        <w:t>1.</w:t>
        <w:tab/>
      </w:r>
      <w:r>
        <w:rPr>
          <w:b/>
        </w:rPr>
        <w:t>Hay dos juegos de supuestos, no tres.</w:t>
      </w:r>
    </w:p>
    <w:p>
      <w:pPr>
        <w:pStyle w:val="ListBullet2"/>
      </w:pPr>
      <w:r>
        <w:rPr/>
        <w:t xml:space="preserve">El libro de Alejandro corre los supuestos de la v3 en la plantilla de S&amp;P Capital IQ. Sus flujos libres 2026-30 son iguales a los de la v3 al peso (117,350) y su WACC también (10.3233%) </w:t>
      </w:r>
      <w:r>
        <w:rPr>
          <w:rFonts w:ascii="Consolas" w:hAnsi="Consolas"/>
          <w:color w:val="7F3F00"/>
          <w:sz w:val="18"/>
        </w:rPr>
        <w:t>[calc]</w:t>
      </w:r>
      <w:r>
        <w:rPr/>
        <w:t>. Coincide con la v3 por construcción, no como segunda opinión.</w:t>
      </w:r>
    </w:p>
    <w:p>
      <w:pPr>
        <w:pStyle w:val="ListBullet2"/>
      </w:pPr>
      <w:r>
        <w:rPr/>
        <w:t>El de Diego es el único juego independiente en proyección, beta, múltiplo y puente de valor. Sus fuentes del costo de capital son las mismas que las de la v3.</w:t>
      </w:r>
    </w:p>
    <w:p>
      <w:pPr>
        <w:tabs>
          <w:tab w:pos="369" w:val="left"/>
        </w:tabs>
        <w:ind w:left="369" w:hanging="369"/>
      </w:pPr>
      <w:r>
        <w:rPr/>
        <w:t>2.</w:t>
        <w:tab/>
      </w:r>
      <w:r>
        <w:rPr>
          <w:b/>
        </w:rPr>
        <w:t>Los WACC coinciden porque las fuentes son las mismas.</w:t>
      </w:r>
    </w:p>
    <w:p>
      <w:pPr>
        <w:pStyle w:val="ListBullet2"/>
      </w:pPr>
      <w:r>
        <w:rPr/>
        <w:t>Los tres modelos usan tasa libre de riesgo de 7.51%, prima de mercado de 4.20%, costo de deuda de 9.71% y la misma prima país, ponderada por dónde Bimbo genera su EBITDA (2.05%).</w:t>
      </w:r>
    </w:p>
    <w:p>
      <w:pPr>
        <w:pStyle w:val="ListBullet2"/>
      </w:pPr>
      <w:r>
        <w:rPr/>
        <w:t xml:space="preserve">Solo cambian la beta desapalancada (0.53 contra 0.56) y la cifra de deuda de Diego. Los WACC quedan en 10.32% y 10.40% </w:t>
      </w:r>
      <w:r>
        <w:rPr>
          <w:rFonts w:ascii="Consolas" w:hAnsi="Consolas"/>
          <w:color w:val="7F3F00"/>
          <w:sz w:val="18"/>
        </w:rPr>
        <w:t>[calc]</w:t>
      </w:r>
      <w:r>
        <w:rPr/>
        <w:t>.</w:t>
      </w:r>
    </w:p>
    <w:p>
      <w:pPr>
        <w:tabs>
          <w:tab w:pos="369" w:val="left"/>
        </w:tabs>
        <w:ind w:left="369" w:hanging="369"/>
      </w:pPr>
      <w:r>
        <w:rPr/>
        <w:t>3.</w:t>
        <w:tab/>
      </w:r>
      <w:r>
        <w:rPr>
          <w:b/>
        </w:rPr>
        <w:t>El valor más alto de Diego (54.94 contra 47.13) casi no es una diferencia de opinión.</w:t>
      </w:r>
    </w:p>
    <w:p>
      <w:pPr>
        <w:pStyle w:val="ListBullet2"/>
      </w:pPr>
      <w:r>
        <w:rPr/>
        <w:t>Su múltiplo de 6.4x suma 4.63 y la participación no controladora a valor en libros suma 4.07.</w:t>
      </w:r>
    </w:p>
    <w:p>
      <w:pPr>
        <w:pStyle w:val="ListBullet2"/>
      </w:pPr>
      <w:r>
        <w:rPr/>
        <w:t>En sentido contrario, tres cosas restan 2.50: la reconversión de su deuda, los derivados incluidos dentro de la deuda de Capital IQ y un periodo parcial que pierde 3.5 meses de flujo.</w:t>
      </w:r>
    </w:p>
    <w:p>
      <w:pPr>
        <w:pStyle w:val="ListBullet2"/>
      </w:pPr>
      <w:r>
        <w:rPr/>
        <w:t xml:space="preserve">Con los mismos datos y la misma mecánica, sus juicios dan </w:t>
      </w:r>
      <w:r>
        <w:rPr>
          <w:b/>
        </w:rPr>
        <w:t>45.71</w:t>
      </w:r>
      <w:r>
        <w:rPr/>
        <w:t xml:space="preserve"> y los de la v3 </w:t>
      </w:r>
      <w:r>
        <w:rPr>
          <w:b/>
        </w:rPr>
        <w:t>47.13</w:t>
      </w:r>
      <w:r>
        <w:rPr/>
        <w:t xml:space="preserve">. Los dos analistas quedan a Ps 1.42 de distancia </w:t>
      </w:r>
      <w:r>
        <w:rPr>
          <w:rFonts w:ascii="Consolas" w:hAnsi="Consolas"/>
          <w:color w:val="7F3F00"/>
          <w:sz w:val="18"/>
        </w:rPr>
        <w:t>[calc]</w:t>
      </w:r>
      <w:r>
        <w:rPr/>
        <w:t>.</w:t>
      </w:r>
    </w:p>
    <w:p>
      <w:pPr>
        <w:keepNext/>
        <w:tabs>
          <w:tab w:pos="369" w:val="left"/>
        </w:tabs>
        <w:ind w:left="369" w:hanging="369"/>
      </w:pPr>
      <w:r>
        <w:rPr/>
        <w:t>4.</w:t>
        <w:tab/>
      </w:r>
      <w:r>
        <w:rPr>
          <w:b/>
        </w:rPr>
        <w:t>DCF consolidado.</w:t>
      </w:r>
      <w:r>
        <w:rPr/>
        <w:t xml:space="preserve"> Promedia 50/50 los juicios y concilia los datos y la mecánica.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true"/>
          <w:tblHeader w:val="true"/>
        </w:trPr>
        <w:tc>
          <w:tcPr>
            <w:tcW w:type="dxa" w:w="7039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1467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Valor hoy</w:t>
            </w:r>
          </w:p>
        </w:tc>
        <w:tc>
          <w:tcPr>
            <w:tcW w:type="dxa" w:w="1467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vs 58.60</w:t>
            </w:r>
          </w:p>
        </w:tc>
      </w:tr>
      <w:tr>
        <w:trPr>
          <w:cantSplit w:val="true"/>
        </w:trPr>
        <w:tc>
          <w:tcPr>
            <w:tcW w:type="dxa" w:w="703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Múltiplo de salida</w:t>
            </w:r>
          </w:p>
        </w:tc>
        <w:tc>
          <w:tcPr>
            <w:tcW w:type="dxa" w:w="1467"/>
          </w:tcPr>
          <w:p>
            <w:pPr>
              <w:keepNext/>
              <w:spacing w:after="0"/>
            </w:pPr>
            <w:r/>
            <w:r>
              <w:rPr>
                <w:b/>
                <w:sz w:val="17"/>
              </w:rPr>
              <w:t>46.42</w:t>
            </w:r>
          </w:p>
        </w:tc>
        <w:tc>
          <w:tcPr>
            <w:tcW w:type="dxa" w:w="1467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−20.8%</w:t>
            </w:r>
          </w:p>
        </w:tc>
      </w:tr>
      <w:tr>
        <w:trPr>
          <w:cantSplit w:val="true"/>
        </w:trPr>
        <w:tc>
          <w:tcPr>
            <w:tcW w:type="dxa" w:w="703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Gordon con el rendimiento sobre capital nuevo de la v3 (14.6%)</w:t>
            </w:r>
          </w:p>
        </w:tc>
        <w:tc>
          <w:tcPr>
            <w:tcW w:type="dxa" w:w="1467"/>
          </w:tcPr>
          <w:p>
            <w:pPr>
              <w:keepNext w:val="0"/>
              <w:spacing w:after="0"/>
            </w:pPr>
            <w:r/>
            <w:r>
              <w:rPr>
                <w:b/>
                <w:sz w:val="17"/>
              </w:rPr>
              <w:t>30.76</w:t>
            </w:r>
          </w:p>
        </w:tc>
        <w:tc>
          <w:tcPr>
            <w:tcW w:type="dxa" w:w="1467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−47.5%</w:t>
            </w:r>
          </w:p>
        </w:tc>
      </w:tr>
    </w:tbl>
    <w:p>
      <w:pPr>
        <w:spacing w:after="40"/>
      </w:pPr>
    </w:p>
    <w:p>
      <w:pPr>
        <w:ind w:left="369"/>
      </w:pPr>
      <w:r>
        <w:rPr/>
        <w:t xml:space="preserve">El WACC es 10.38% </w:t>
      </w:r>
      <w:r>
        <w:rPr>
          <w:rFonts w:ascii="Consolas" w:hAnsi="Consolas"/>
          <w:color w:val="7F3F00"/>
          <w:sz w:val="18"/>
        </w:rPr>
        <w:t>[calc]</w:t>
      </w:r>
      <w:r>
        <w:rPr/>
        <w:t xml:space="preserve">. Con la configuración que recomiendo (50/50, 5.92x, minoritarios a mercado e impuesto sobre EBIT de 34% en lugar del promedio de 32%), el múltiplo da </w:t>
      </w:r>
      <w:r>
        <w:rPr>
          <w:b/>
        </w:rPr>
        <w:t>45.69</w:t>
      </w:r>
      <w:r>
        <w:rPr/>
        <w:t>.</w:t>
      </w:r>
    </w:p>
    <w:p>
      <w:pPr>
        <w:tabs>
          <w:tab w:pos="369" w:val="left"/>
        </w:tabs>
        <w:ind w:left="369" w:hanging="369"/>
      </w:pPr>
      <w:r>
        <w:rPr/>
        <w:t>5.</w:t>
        <w:tab/>
      </w:r>
      <w:r>
        <w:rPr>
          <w:b/>
        </w:rPr>
        <w:t>Banda de recomendación (convención del equipo).</w:t>
      </w:r>
    </w:p>
    <w:p>
      <w:pPr>
        <w:pStyle w:val="ListBullet2"/>
      </w:pPr>
      <w:r>
        <w:rPr/>
        <w:t xml:space="preserve">El valor a 12 meses del múltiplo (51.42) implica un rendimiento esperado de </w:t>
      </w:r>
      <w:r>
        <w:rPr>
          <w:b/>
        </w:rPr>
        <w:t>−10.5%</w:t>
      </w:r>
      <w:r>
        <w:rPr/>
        <w:t xml:space="preserve">, medio punto debajo del piso de HOLD. Con la configuración recomendada, </w:t>
      </w:r>
      <w:r>
        <w:rPr>
          <w:b/>
        </w:rPr>
        <w:t>−11.9%</w:t>
      </w:r>
      <w:r>
        <w:rPr/>
        <w:t>. Gordon da −40.7%.</w:t>
      </w:r>
    </w:p>
    <w:p>
      <w:pPr>
        <w:pStyle w:val="ListBullet2"/>
      </w:pPr>
      <w:r>
        <w:rPr/>
        <w:t>HOLD necesita un valor hoy de al menos 46.66. Por eso se apoya en el múltiplo de salida y además en al menos una de estas decisiones:</w:t>
      </w:r>
    </w:p>
    <w:p>
      <w:pPr>
        <w:pStyle w:val="ListBullet3"/>
      </w:pPr>
      <w:r>
        <w:rPr/>
        <w:t>el múltiplo sin ajustar de Diego (49.75; −4.0%)</w:t>
      </w:r>
    </w:p>
    <w:p>
      <w:pPr>
        <w:pStyle w:val="ListBullet3"/>
      </w:pPr>
      <w:r>
        <w:rPr/>
        <w:t>minoritarios en libros (50.61; −2.4%)</w:t>
      </w:r>
    </w:p>
    <w:p>
      <w:pPr>
        <w:pStyle w:val="ListBullet3"/>
      </w:pPr>
      <w:r>
        <w:rPr/>
        <w:t xml:space="preserve">impuesto de 30% (47.15; −9.1%) </w:t>
      </w:r>
      <w:r>
        <w:rPr>
          <w:rFonts w:ascii="Consolas" w:hAnsi="Consolas"/>
          <w:color w:val="7F3F00"/>
          <w:sz w:val="18"/>
        </w:rPr>
        <w:t>[calc]</w:t>
      </w:r>
    </w:p>
    <w:p>
      <w:pPr>
        <w:tabs>
          <w:tab w:pos="369" w:val="left"/>
        </w:tabs>
        <w:ind w:left="369" w:hanging="369"/>
      </w:pPr>
      <w:r>
        <w:rPr/>
        <w:t>6.</w:t>
        <w:tab/>
      </w:r>
      <w:r>
        <w:rPr>
          <w:b/>
        </w:rPr>
        <w:t>ESG no mueve la tasa de descuento.</w:t>
      </w:r>
      <w:r>
        <w:rPr/>
        <w:t xml:space="preserve"> Su efecto en el valor pasa por el margen, el capex, el múltiplo y el puente (sección 9). El único costo ESG contractual, el aumento de cupón del bono BIMBO 23L, vale menos de un centavo por acción </w:t>
      </w:r>
      <w:r>
        <w:rPr>
          <w:rFonts w:ascii="Consolas" w:hAnsi="Consolas"/>
          <w:color w:val="7F3F00"/>
          <w:sz w:val="18"/>
        </w:rPr>
        <w:t>[calc]</w:t>
      </w:r>
      <w:r>
        <w:rPr/>
        <w:t>.</w:t>
      </w:r>
    </w:p>
    <w:p>
      <w:pPr>
        <w:pStyle w:val="Heading1"/>
        <w:keepNext/>
      </w:pPr>
      <w:r>
        <w:rPr/>
        <w:t>1. Qué es cada modelo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  <w:tblHeader w:val="true"/>
        </w:trPr>
        <w:tc>
          <w:tcPr>
            <w:tcW w:type="dxa" w:w="1623"/>
            <w:shd w:val="clear" w:color="auto" w:fill="1F3864"/>
          </w:tcPr>
          <w:p>
            <w:pPr>
              <w:keepNext/>
              <w:spacing w:after="0"/>
            </w:pPr>
            <w:r/>
          </w:p>
        </w:tc>
        <w:tc>
          <w:tcPr>
            <w:tcW w:type="dxa" w:w="2783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v3 (</w:t>
            </w:r>
            <w:r>
              <w:rPr>
                <w:rFonts w:ascii="Consolas" w:hAnsi="Consolas"/>
                <w:b/>
                <w:color w:val="FFFFFF"/>
                <w:sz w:val="15"/>
              </w:rPr>
              <w:t>valuation/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type="dxa" w:w="2783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Alejandro</w:t>
            </w:r>
          </w:p>
        </w:tc>
        <w:tc>
          <w:tcPr>
            <w:tcW w:type="dxa" w:w="2783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Diego</w:t>
            </w:r>
          </w:p>
        </w:tc>
      </w:tr>
      <w:tr>
        <w:trPr>
          <w:cantSplit w:val="true"/>
        </w:trPr>
        <w:tc>
          <w:tcPr>
            <w:tcW w:type="dxa" w:w="162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Libro</w:t>
            </w:r>
          </w:p>
        </w:tc>
        <w:tc>
          <w:tcPr>
            <w:tcW w:type="dxa" w:w="2783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color w:val="7F3F00"/>
                <w:sz w:val="15"/>
              </w:rPr>
              <w:t>BIMBOA_DCF_v3.xlsx</w:t>
            </w:r>
          </w:p>
        </w:tc>
        <w:tc>
          <w:tcPr>
            <w:tcW w:type="dxa" w:w="2783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color w:val="7F3F00"/>
                <w:sz w:val="15"/>
              </w:rPr>
              <w:t>Bimbo_DCF_Alejandro.xlsm</w:t>
            </w:r>
          </w:p>
        </w:tc>
        <w:tc>
          <w:tcPr>
            <w:tcW w:type="dxa" w:w="2783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color w:val="7F3F00"/>
                <w:sz w:val="15"/>
              </w:rPr>
              <w:t>SPG_DCF_independent_Diego.xlsm</w:t>
            </w:r>
          </w:p>
        </w:tc>
      </w:tr>
      <w:tr>
        <w:trPr>
          <w:cantSplit w:val="true"/>
        </w:trPr>
        <w:tc>
          <w:tcPr>
            <w:tcW w:type="dxa" w:w="162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Plantilla / horizonte</w:t>
            </w:r>
          </w:p>
        </w:tc>
        <w:tc>
          <w:tcPr>
            <w:tcW w:type="dxa" w:w="278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Motor + formato S&amp;P; 10 años (FY2026-35)</w:t>
            </w:r>
          </w:p>
        </w:tc>
        <w:tc>
          <w:tcPr>
            <w:tcW w:type="dxa" w:w="278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Plantilla S&amp;P; 5 años (2S26-FY2030)</w:t>
            </w:r>
          </w:p>
        </w:tc>
        <w:tc>
          <w:tcPr>
            <w:tcW w:type="dxa" w:w="278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Plantilla S&amp;P; 5 años (periodo parcial de 76 días a FY2030)</w:t>
            </w:r>
          </w:p>
        </w:tc>
      </w:tr>
      <w:tr>
        <w:trPr>
          <w:cantSplit w:val="true"/>
        </w:trPr>
        <w:tc>
          <w:tcPr>
            <w:tcW w:type="dxa" w:w="162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Proyección</w:t>
            </w:r>
          </w:p>
        </w:tc>
        <w:tc>
          <w:tcPr>
            <w:tcW w:type="dxa" w:w="278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Supuestos de la v3 (suma por regiones, pilares 1-3)</w:t>
            </w:r>
          </w:p>
        </w:tc>
        <w:tc>
          <w:tcPr>
            <w:tcW w:type="dxa" w:w="278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Supuestos de la v3, copiados (sus controles en Supuestos_DCF: flujo libre = v3)</w:t>
            </w:r>
          </w:p>
        </w:tc>
        <w:tc>
          <w:tcPr>
            <w:tcW w:type="dxa" w:w="278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Consenso de Capital IQ FY26-28 + desaceleración. Él lo llama un marcador neutral</w:t>
            </w:r>
          </w:p>
        </w:tc>
      </w:tr>
      <w:tr>
        <w:trPr>
          <w:cantSplit w:val="true"/>
        </w:trPr>
        <w:tc>
          <w:tcPr>
            <w:tcW w:type="dxa" w:w="162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Fecha de valuación</w:t>
            </w:r>
          </w:p>
        </w:tc>
        <w:tc>
          <w:tcPr>
            <w:tcW w:type="dxa" w:w="278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Avance desde el cierre del año fiscal (0.79 años)</w:t>
            </w:r>
          </w:p>
        </w:tc>
        <w:tc>
          <w:tcPr>
            <w:tcW w:type="dxa" w:w="278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Anclada al 30-jun y llevada al 16-oct con ke</w:t>
            </w:r>
          </w:p>
        </w:tc>
        <w:tc>
          <w:tcPr>
            <w:tcW w:type="dxa" w:w="278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Descontada desde el 16-oct; balance al 30-jun</w:t>
            </w:r>
          </w:p>
        </w:tc>
      </w:tr>
      <w:tr>
        <w:trPr>
          <w:cantSplit w:val="true"/>
        </w:trPr>
        <w:tc>
          <w:tcPr>
            <w:tcW w:type="dxa" w:w="162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Valor terminal</w:t>
            </w:r>
          </w:p>
        </w:tc>
        <w:tc>
          <w:tcPr>
            <w:tcW w:type="dxa" w:w="278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Gordon g 4.25% y múltiplo 6.0x sobre FY2035</w:t>
            </w:r>
          </w:p>
        </w:tc>
        <w:tc>
          <w:tcPr>
            <w:tcW w:type="dxa" w:w="278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Múltiplo 6.0x y Gordon sobre FY2030</w:t>
            </w:r>
          </w:p>
        </w:tc>
        <w:tc>
          <w:tcPr>
            <w:tcW w:type="dxa" w:w="278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Múltiplo 6.4x sobre FY2030</w:t>
            </w:r>
          </w:p>
        </w:tc>
      </w:tr>
      <w:tr>
        <w:trPr>
          <w:cantSplit w:val="true"/>
        </w:trPr>
        <w:tc>
          <w:tcPr>
            <w:tcW w:type="dxa" w:w="162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Puente de valor</w:t>
            </w:r>
          </w:p>
        </w:tc>
        <w:tc>
          <w:tcPr>
            <w:tcW w:type="dxa" w:w="278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Minoritarios a mercado; pensiones, provisiones y derivados solo en Gordon</w:t>
            </w:r>
          </w:p>
        </w:tc>
        <w:tc>
          <w:tcPr>
            <w:tcW w:type="dxa" w:w="278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Igual que la v3</w:t>
            </w:r>
          </w:p>
        </w:tc>
        <w:tc>
          <w:tcPr>
            <w:tcW w:type="dxa" w:w="278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Minoritarios en libros; sin asociadas; sin otros pasivos</w:t>
            </w:r>
          </w:p>
        </w:tc>
      </w:tr>
      <w:tr>
        <w:trPr>
          <w:cantSplit w:val="true"/>
        </w:trPr>
        <w:tc>
          <w:tcPr>
            <w:tcW w:type="dxa" w:w="1623"/>
          </w:tcPr>
          <w:p>
            <w:pPr>
              <w:keepNext w:val="0"/>
              <w:spacing w:after="0"/>
            </w:pPr>
            <w:r/>
            <w:r>
              <w:rPr>
                <w:b/>
                <w:sz w:val="17"/>
              </w:rPr>
              <w:t>Valor hoy, múltiplo / Gordon</w:t>
            </w:r>
          </w:p>
        </w:tc>
        <w:tc>
          <w:tcPr>
            <w:tcW w:type="dxa" w:w="2783"/>
          </w:tcPr>
          <w:p>
            <w:pPr>
              <w:keepNext w:val="0"/>
              <w:spacing w:after="0"/>
            </w:pPr>
            <w:r/>
            <w:r>
              <w:rPr>
                <w:b/>
                <w:sz w:val="17"/>
              </w:rPr>
              <w:t>45.72 / 33.55</w:t>
            </w:r>
          </w:p>
        </w:tc>
        <w:tc>
          <w:tcPr>
            <w:tcW w:type="dxa" w:w="2783"/>
          </w:tcPr>
          <w:p>
            <w:pPr>
              <w:keepNext w:val="0"/>
              <w:spacing w:after="0"/>
            </w:pPr>
            <w:r/>
            <w:r>
              <w:rPr>
                <w:b/>
                <w:sz w:val="17"/>
              </w:rPr>
              <w:t>47.13 / 36.91</w:t>
            </w:r>
          </w:p>
        </w:tc>
        <w:tc>
          <w:tcPr>
            <w:tcW w:type="dxa" w:w="2783"/>
          </w:tcPr>
          <w:p>
            <w:pPr>
              <w:keepNext w:val="0"/>
              <w:spacing w:after="0"/>
            </w:pPr>
            <w:r/>
            <w:r>
              <w:rPr>
                <w:b/>
                <w:sz w:val="17"/>
              </w:rPr>
              <w:t>54.94 / n.d.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/>
        <w:t>2. Comparación lado a lado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  <w:tblHeader w:val="true"/>
        </w:trPr>
        <w:tc>
          <w:tcPr>
            <w:tcW w:type="dxa" w:w="2418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Supuesto</w:t>
            </w:r>
          </w:p>
        </w:tc>
        <w:tc>
          <w:tcPr>
            <w:tcW w:type="dxa" w:w="2115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v3 / Alejandro</w:t>
            </w:r>
          </w:p>
        </w:tc>
        <w:tc>
          <w:tcPr>
            <w:tcW w:type="dxa" w:w="2418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Diego</w:t>
            </w:r>
          </w:p>
        </w:tc>
        <w:tc>
          <w:tcPr>
            <w:tcW w:type="dxa" w:w="1712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Consolidado</w:t>
            </w:r>
          </w:p>
        </w:tc>
        <w:tc>
          <w:tcPr>
            <w:tcW w:type="dxa" w:w="1309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Tipo</w:t>
            </w:r>
          </w:p>
        </w:tc>
      </w:tr>
      <w:tr>
        <w:trPr>
          <w:cantSplit w:val="true"/>
        </w:trPr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Tasa libre de riesgo (M-Bono 9.26% − spread de default 1.75%)</w:t>
            </w:r>
          </w:p>
        </w:tc>
        <w:tc>
          <w:tcPr>
            <w:tcW w:type="dxa" w:w="2115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7.51%</w:t>
            </w:r>
          </w:p>
        </w:tc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7.51%</w:t>
            </w:r>
          </w:p>
        </w:tc>
        <w:tc>
          <w:tcPr>
            <w:tcW w:type="dxa" w:w="171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7.51%</w:t>
            </w:r>
          </w:p>
        </w:tc>
        <w:tc>
          <w:tcPr>
            <w:tcW w:type="dxa" w:w="130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Dato</w:t>
            </w:r>
          </w:p>
        </w:tc>
      </w:tr>
      <w:tr>
        <w:trPr>
          <w:cantSplit w:val="true"/>
        </w:trPr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Prima de mercado / prima país (por EBITDA) / costo de deuda antes de impuestos</w:t>
            </w:r>
          </w:p>
        </w:tc>
        <w:tc>
          <w:tcPr>
            <w:tcW w:type="dxa" w:w="2115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4.20% / 2.05% / 9.71%</w:t>
            </w:r>
          </w:p>
        </w:tc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igual</w:t>
            </w:r>
          </w:p>
        </w:tc>
        <w:tc>
          <w:tcPr>
            <w:tcW w:type="dxa" w:w="171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igual</w:t>
            </w:r>
          </w:p>
        </w:tc>
        <w:tc>
          <w:tcPr>
            <w:tcW w:type="dxa" w:w="130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Dato</w:t>
            </w:r>
          </w:p>
        </w:tc>
      </w:tr>
      <w:tr>
        <w:trPr>
          <w:cantSplit w:val="true"/>
        </w:trPr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Beta desapalancada (Damodaran, alimentos procesados, global)</w:t>
            </w:r>
          </w:p>
        </w:tc>
        <w:tc>
          <w:tcPr>
            <w:tcW w:type="dxa" w:w="2115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0.53</w:t>
            </w:r>
          </w:p>
        </w:tc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0.56</w:t>
            </w:r>
          </w:p>
        </w:tc>
        <w:tc>
          <w:tcPr>
            <w:tcW w:type="dxa" w:w="171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0.545</w:t>
            </w:r>
          </w:p>
        </w:tc>
        <w:tc>
          <w:tcPr>
            <w:tcW w:type="dxa" w:w="130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Juicio</w:t>
            </w:r>
          </w:p>
        </w:tc>
      </w:tr>
      <w:tr>
        <w:trPr>
          <w:cantSplit w:val="true"/>
        </w:trPr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D/E a mercado, deuda con arrendamientos</w:t>
            </w:r>
          </w:p>
        </w:tc>
        <w:tc>
          <w:tcPr>
            <w:tcW w:type="dxa" w:w="2115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0.743</w:t>
            </w:r>
          </w:p>
        </w:tc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0.774</w:t>
            </w:r>
          </w:p>
        </w:tc>
        <w:tc>
          <w:tcPr>
            <w:tcW w:type="dxa" w:w="171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0.743</w:t>
            </w:r>
          </w:p>
        </w:tc>
        <w:tc>
          <w:tcPr>
            <w:tcW w:type="dxa" w:w="130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Dato (deuda de la empresa)</w:t>
            </w:r>
          </w:p>
        </w:tc>
      </w:tr>
      <w:tr>
        <w:trPr>
          <w:cantSplit w:val="true"/>
        </w:trPr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Beta apalancada / ke / WACC</w:t>
            </w:r>
          </w:p>
        </w:tc>
        <w:tc>
          <w:tcPr>
            <w:tcW w:type="dxa" w:w="2115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0.806 / 12.94% / 10.32%</w:t>
            </w:r>
          </w:p>
        </w:tc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0.863 / 13.19% / 10.40%</w:t>
            </w:r>
          </w:p>
        </w:tc>
        <w:tc>
          <w:tcPr>
            <w:tcW w:type="dxa" w:w="171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0.828 / 13.04% / 10.38%</w:t>
            </w:r>
          </w:p>
        </w:tc>
        <w:tc>
          <w:tcPr>
            <w:tcW w:type="dxa" w:w="1309"/>
          </w:tcPr>
          <w:p>
            <w:pPr>
              <w:keepNext w:val="0"/>
              <w:spacing w:after="0"/>
            </w:pPr>
            <w:r/>
            <w:r>
              <w:rPr>
                <w:rFonts w:ascii="Consolas" w:hAnsi="Consolas"/>
                <w:color w:val="7F3F00"/>
                <w:sz w:val="15"/>
              </w:rPr>
              <w:t>[calc]</w:t>
            </w:r>
          </w:p>
        </w:tc>
      </w:tr>
      <w:tr>
        <w:trPr>
          <w:cantSplit w:val="true"/>
        </w:trPr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Ventas FY2030 (crecimiento anual FY2025-30)</w:t>
            </w:r>
          </w:p>
        </w:tc>
        <w:tc>
          <w:tcPr>
            <w:tcW w:type="dxa" w:w="2115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504,070 (3.4%)</w:t>
            </w:r>
          </w:p>
        </w:tc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511,536 (3.7%)</w:t>
            </w:r>
          </w:p>
        </w:tc>
        <w:tc>
          <w:tcPr>
            <w:tcW w:type="dxa" w:w="171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507,797 (3.5%)</w:t>
            </w:r>
          </w:p>
        </w:tc>
        <w:tc>
          <w:tcPr>
            <w:tcW w:type="dxa" w:w="130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Juicio</w:t>
            </w:r>
          </w:p>
        </w:tc>
      </w:tr>
      <w:tr>
        <w:trPr>
          <w:cantSplit w:val="true"/>
        </w:trPr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Margen EBITDA FY2030 (EBITDA)</w:t>
            </w:r>
          </w:p>
        </w:tc>
        <w:tc>
          <w:tcPr>
            <w:tcW w:type="dxa" w:w="2115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15.3% (77,123)</w:t>
            </w:r>
          </w:p>
        </w:tc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14.7% (75,348)</w:t>
            </w:r>
          </w:p>
        </w:tc>
        <w:tc>
          <w:tcPr>
            <w:tcW w:type="dxa" w:w="171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15.0% (76,245)</w:t>
            </w:r>
          </w:p>
        </w:tc>
        <w:tc>
          <w:tcPr>
            <w:tcW w:type="dxa" w:w="130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Juicio</w:t>
            </w:r>
          </w:p>
        </w:tc>
      </w:tr>
      <w:tr>
        <w:trPr>
          <w:cantSplit w:val="true"/>
        </w:trPr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Depreciación y amortización / ventas</w:t>
            </w:r>
          </w:p>
        </w:tc>
        <w:tc>
          <w:tcPr>
            <w:tcW w:type="dxa" w:w="2115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5.9% → 5.85%</w:t>
            </w:r>
          </w:p>
        </w:tc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plantilla: sube a 100% del capex + arrendamientos</w:t>
            </w:r>
          </w:p>
        </w:tc>
        <w:tc>
          <w:tcPr>
            <w:tcW w:type="dxa" w:w="171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ruta de la v3</w:t>
            </w:r>
          </w:p>
        </w:tc>
        <w:tc>
          <w:tcPr>
            <w:tcW w:type="dxa" w:w="130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Mecánica</w:t>
            </w:r>
          </w:p>
        </w:tc>
      </w:tr>
      <w:tr>
        <w:trPr>
          <w:cantSplit w:val="true"/>
        </w:trPr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Capex sin arrendamientos, FY2026 → FY2030</w:t>
            </w:r>
          </w:p>
        </w:tc>
        <w:tc>
          <w:tcPr>
            <w:tcW w:type="dxa" w:w="2115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4.6% → 5.5%</w:t>
            </w:r>
          </w:p>
        </w:tc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5.2% → 4.8%</w:t>
            </w:r>
          </w:p>
        </w:tc>
        <w:tc>
          <w:tcPr>
            <w:tcW w:type="dxa" w:w="171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4.9% → 5.1%</w:t>
            </w:r>
          </w:p>
        </w:tc>
        <w:tc>
          <w:tcPr>
            <w:tcW w:type="dxa" w:w="130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Juicio</w:t>
            </w:r>
          </w:p>
        </w:tc>
      </w:tr>
      <w:tr>
        <w:trPr>
          <w:cantSplit w:val="true"/>
        </w:trPr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Arrendamientos nuevos / ventas FY2030</w:t>
            </w:r>
          </w:p>
        </w:tc>
        <w:tc>
          <w:tcPr>
            <w:tcW w:type="dxa" w:w="2115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1.74% (principal + crecimiento del pasivo)</w:t>
            </w:r>
          </w:p>
        </w:tc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1.39% (solo principal)</w:t>
            </w:r>
          </w:p>
        </w:tc>
        <w:tc>
          <w:tcPr>
            <w:tcW w:type="dxa" w:w="171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1.73%</w:t>
            </w:r>
          </w:p>
        </w:tc>
        <w:tc>
          <w:tcPr>
            <w:tcW w:type="dxa" w:w="130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Mecánica</w:t>
            </w:r>
          </w:p>
        </w:tc>
      </w:tr>
      <w:tr>
        <w:trPr>
          <w:cantSplit w:val="true"/>
        </w:trPr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Impuesto sobre EBIT</w:t>
            </w:r>
          </w:p>
        </w:tc>
        <w:tc>
          <w:tcPr>
            <w:tcW w:type="dxa" w:w="2115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34% (efectivo)</w:t>
            </w:r>
          </w:p>
        </w:tc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30% (estatutario)</w:t>
            </w:r>
          </w:p>
        </w:tc>
        <w:tc>
          <w:tcPr>
            <w:tcW w:type="dxa" w:w="171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32%</w:t>
            </w:r>
          </w:p>
        </w:tc>
        <w:tc>
          <w:tcPr>
            <w:tcW w:type="dxa" w:w="130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Juicio, señalado</w:t>
            </w:r>
          </w:p>
        </w:tc>
      </w:tr>
      <w:tr>
        <w:trPr>
          <w:cantSplit w:val="true"/>
        </w:trPr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Flujo libre FY2026-30, suma</w:t>
            </w:r>
          </w:p>
        </w:tc>
        <w:tc>
          <w:tcPr>
            <w:tcW w:type="dxa" w:w="2115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117,350</w:t>
            </w:r>
          </w:p>
        </w:tc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137,621</w:t>
            </w:r>
          </w:p>
        </w:tc>
        <w:tc>
          <w:tcPr>
            <w:tcW w:type="dxa" w:w="171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123,642</w:t>
            </w:r>
          </w:p>
        </w:tc>
        <w:tc>
          <w:tcPr>
            <w:tcW w:type="dxa" w:w="1309"/>
          </w:tcPr>
          <w:p>
            <w:pPr>
              <w:keepNext w:val="0"/>
              <w:spacing w:after="0"/>
            </w:pPr>
            <w:r/>
            <w:r>
              <w:rPr>
                <w:rFonts w:ascii="Consolas" w:hAnsi="Consolas"/>
                <w:color w:val="7F3F00"/>
                <w:sz w:val="15"/>
              </w:rPr>
              <w:t>[calc]</w:t>
            </w:r>
          </w:p>
        </w:tc>
      </w:tr>
      <w:tr>
        <w:trPr>
          <w:cantSplit w:val="true"/>
        </w:trPr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Múltiplo de salida VE/EBITDA (FY2030)</w:t>
            </w:r>
          </w:p>
        </w:tc>
        <w:tc>
          <w:tcPr>
            <w:tcW w:type="dxa" w:w="2115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6.0x</w:t>
            </w:r>
          </w:p>
        </w:tc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6.4x</w:t>
            </w:r>
          </w:p>
        </w:tc>
        <w:tc>
          <w:tcPr>
            <w:tcW w:type="dxa" w:w="171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5.92x</w:t>
            </w:r>
          </w:p>
        </w:tc>
        <w:tc>
          <w:tcPr>
            <w:tcW w:type="dxa" w:w="130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Juicio + base de datos</w:t>
            </w:r>
          </w:p>
        </w:tc>
      </w:tr>
      <w:tr>
        <w:trPr>
          <w:cantSplit w:val="true"/>
        </w:trPr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Crecimiento terminal g</w:t>
            </w:r>
          </w:p>
        </w:tc>
        <w:tc>
          <w:tcPr>
            <w:tcW w:type="dxa" w:w="2115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4.25%</w:t>
            </w:r>
          </w:p>
        </w:tc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4.00%</w:t>
            </w:r>
          </w:p>
        </w:tc>
        <w:tc>
          <w:tcPr>
            <w:tcW w:type="dxa" w:w="171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4.125%</w:t>
            </w:r>
          </w:p>
        </w:tc>
        <w:tc>
          <w:tcPr>
            <w:tcW w:type="dxa" w:w="130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Juicio</w:t>
            </w:r>
          </w:p>
        </w:tc>
      </w:tr>
      <w:tr>
        <w:trPr>
          <w:cantSplit w:val="true"/>
        </w:trPr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Deuda con arrendamientos / efectivo</w:t>
            </w:r>
          </w:p>
        </w:tc>
        <w:tc>
          <w:tcPr>
            <w:tcW w:type="dxa" w:w="2115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187,021 / 16,563</w:t>
            </w:r>
          </w:p>
        </w:tc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194,918 / 17,023</w:t>
            </w:r>
          </w:p>
        </w:tc>
        <w:tc>
          <w:tcPr>
            <w:tcW w:type="dxa" w:w="171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187,021 / 16,563</w:t>
            </w:r>
          </w:p>
        </w:tc>
        <w:tc>
          <w:tcPr>
            <w:tcW w:type="dxa" w:w="130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Dato</w:t>
            </w:r>
          </w:p>
        </w:tc>
      </w:tr>
      <w:tr>
        <w:trPr>
          <w:cantSplit w:val="true"/>
        </w:trPr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Participación no controladora</w:t>
            </w:r>
          </w:p>
        </w:tc>
        <w:tc>
          <w:tcPr>
            <w:tcW w:type="dxa" w:w="2115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18,243 (mercado)</w:t>
            </w:r>
          </w:p>
        </w:tc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743 (libros)</w:t>
            </w:r>
          </w:p>
        </w:tc>
        <w:tc>
          <w:tcPr>
            <w:tcW w:type="dxa" w:w="171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18,069 (mercado, con ke de 13.04%)</w:t>
            </w:r>
          </w:p>
        </w:tc>
        <w:tc>
          <w:tcPr>
            <w:tcW w:type="dxa" w:w="130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Mecánica, provisional</w:t>
            </w:r>
          </w:p>
        </w:tc>
      </w:tr>
      <w:tr>
        <w:trPr>
          <w:cantSplit w:val="true"/>
        </w:trPr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Asociadas − ISR estacional por pagar</w:t>
            </w:r>
          </w:p>
        </w:tc>
        <w:tc>
          <w:tcPr>
            <w:tcW w:type="dxa" w:w="2115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+1,959</w:t>
            </w:r>
          </w:p>
        </w:tc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71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+1,959</w:t>
            </w:r>
          </w:p>
        </w:tc>
        <w:tc>
          <w:tcPr>
            <w:tcW w:type="dxa" w:w="130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Mecánica</w:t>
            </w:r>
          </w:p>
        </w:tc>
      </w:tr>
      <w:tr>
        <w:trPr>
          <w:cantSplit w:val="true"/>
        </w:trPr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Otros pasivos tipo deuda (solo Gordon)</w:t>
            </w:r>
          </w:p>
        </w:tc>
        <w:tc>
          <w:tcPr>
            <w:tcW w:type="dxa" w:w="2115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18,135</w:t>
            </w:r>
          </w:p>
        </w:tc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71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18,135</w:t>
            </w:r>
          </w:p>
        </w:tc>
        <w:tc>
          <w:tcPr>
            <w:tcW w:type="dxa" w:w="130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Mecánica</w:t>
            </w:r>
          </w:p>
        </w:tc>
      </w:tr>
      <w:tr>
        <w:trPr>
          <w:cantSplit w:val="true"/>
        </w:trPr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Acciones (millones)</w:t>
            </w:r>
          </w:p>
        </w:tc>
        <w:tc>
          <w:tcPr>
            <w:tcW w:type="dxa" w:w="2115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4,294.9 (BMV)</w:t>
            </w:r>
          </w:p>
        </w:tc>
        <w:tc>
          <w:tcPr>
            <w:tcW w:type="dxa" w:w="24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4,296.3 (Capital IQ)</w:t>
            </w:r>
          </w:p>
        </w:tc>
        <w:tc>
          <w:tcPr>
            <w:tcW w:type="dxa" w:w="171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4,294.9</w:t>
            </w:r>
          </w:p>
        </w:tc>
        <w:tc>
          <w:tcPr>
            <w:tcW w:type="dxa" w:w="130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Dato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3. Por qué el valor de Diego es más alto: de Alejandro a Diego paso a paso</w:t>
      </w:r>
    </w:p>
    <w:p>
      <w:pPr>
        <w:keepNext/>
      </w:pPr>
      <w:r>
        <w:rPr/>
        <w:t xml:space="preserve">Método del múltiplo de salida, un cambio a la vez y en este orden. El recorrido cierra exactamente en el 54.94 de Diego </w:t>
      </w:r>
      <w:r>
        <w:rPr>
          <w:rFonts w:ascii="Consolas" w:hAnsi="Consolas"/>
          <w:color w:val="7F3F00"/>
          <w:sz w:val="18"/>
        </w:rPr>
        <w:t>[calc]</w:t>
      </w:r>
      <w:r>
        <w:rPr/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  <w:tblHeader w:val="true"/>
        </w:trPr>
        <w:tc>
          <w:tcPr>
            <w:tcW w:type="dxa" w:w="5319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1108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1108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Cambio</w:t>
            </w:r>
          </w:p>
        </w:tc>
        <w:tc>
          <w:tcPr>
            <w:tcW w:type="dxa" w:w="2438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Tipo</w:t>
            </w:r>
          </w:p>
        </w:tc>
      </w:tr>
      <w:tr>
        <w:trPr>
          <w:cantSplit w:val="true"/>
        </w:trPr>
        <w:tc>
          <w:tcPr>
            <w:tcW w:type="dxa" w:w="531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Alejandro: supuestos de la v3 en la plantilla de S&amp;P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47.13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</w:p>
        </w:tc>
        <w:tc>
          <w:tcPr>
            <w:tcW w:type="dxa" w:w="2438"/>
          </w:tcPr>
          <w:p>
            <w:pPr>
              <w:keepNext w:val="0"/>
              <w:spacing w:after="0"/>
            </w:pPr>
            <w:r/>
          </w:p>
        </w:tc>
      </w:tr>
      <w:tr>
        <w:trPr>
          <w:cantSplit w:val="true"/>
        </w:trPr>
        <w:tc>
          <w:tcPr>
            <w:tcW w:type="dxa" w:w="531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Fecha de valuación: periodo parcial de 76 días desde el 16-oct, con el balance al 30-jun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46.38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−0.75</w:t>
            </w:r>
          </w:p>
        </w:tc>
        <w:tc>
          <w:tcPr>
            <w:tcW w:type="dxa" w:w="243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Mecánica</w:t>
            </w:r>
          </w:p>
        </w:tc>
      </w:tr>
      <w:tr>
        <w:trPr>
          <w:cantSplit w:val="true"/>
        </w:trPr>
        <w:tc>
          <w:tcPr>
            <w:tcW w:type="dxa" w:w="531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Deuda: derivados incluidos dentro de la deuda total de Capital IQ (+2,658)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45.76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−0.62</w:t>
            </w:r>
          </w:p>
        </w:tc>
        <w:tc>
          <w:tcPr>
            <w:tcW w:type="dxa" w:w="243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Dato</w:t>
            </w:r>
          </w:p>
        </w:tc>
      </w:tr>
      <w:tr>
        <w:trPr>
          <w:cantSplit w:val="true"/>
        </w:trPr>
        <w:tc>
          <w:tcPr>
            <w:tcW w:type="dxa" w:w="531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Deuda y efectivo reconvertidos a 17.96 MXN/US$, cuando las cifras en pesos y en dólares de Capital IQ implican 17.47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44.65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−1.11</w:t>
            </w:r>
          </w:p>
        </w:tc>
        <w:tc>
          <w:tcPr>
            <w:tcW w:type="dxa" w:w="243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Dato (por confirmar)</w:t>
            </w:r>
          </w:p>
        </w:tc>
      </w:tr>
      <w:tr>
        <w:trPr>
          <w:cantSplit w:val="true"/>
        </w:trPr>
        <w:tc>
          <w:tcPr>
            <w:tcW w:type="dxa" w:w="531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Acciones: 4,296.3 millones (Capital IQ) en lugar de 4,294.9 millones (BMV)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44.64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−0.01</w:t>
            </w:r>
          </w:p>
        </w:tc>
        <w:tc>
          <w:tcPr>
            <w:tcW w:type="dxa" w:w="243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Dato</w:t>
            </w:r>
          </w:p>
        </w:tc>
      </w:tr>
      <w:tr>
        <w:trPr>
          <w:cantSplit w:val="true"/>
        </w:trPr>
        <w:tc>
          <w:tcPr>
            <w:tcW w:type="dxa" w:w="531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Sin asociadas (+6,498) ni ISR estacional por pagar (−4,538)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44.18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−0.46</w:t>
            </w:r>
          </w:p>
        </w:tc>
        <w:tc>
          <w:tcPr>
            <w:tcW w:type="dxa" w:w="243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Mecánica</w:t>
            </w:r>
          </w:p>
        </w:tc>
      </w:tr>
      <w:tr>
        <w:trPr>
          <w:cantSplit w:val="true"/>
        </w:trPr>
        <w:tc>
          <w:tcPr>
            <w:tcW w:type="dxa" w:w="531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Minoritarios en libros (743) en lugar de a valor de mercado (18,243)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48.25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b/>
                <w:sz w:val="17"/>
              </w:rPr>
              <w:t>+4.07</w:t>
            </w:r>
          </w:p>
        </w:tc>
        <w:tc>
          <w:tcPr>
            <w:tcW w:type="dxa" w:w="243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Mecánica, provisional</w:t>
            </w:r>
          </w:p>
        </w:tc>
      </w:tr>
      <w:tr>
        <w:trPr>
          <w:cantSplit w:val="true"/>
        </w:trPr>
        <w:tc>
          <w:tcPr>
            <w:tcW w:type="dxa" w:w="531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WACC 10.32% → 10.40% (beta 0.53 → 0.56; D/E con su deuda)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48.02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−0.23</w:t>
            </w:r>
          </w:p>
        </w:tc>
        <w:tc>
          <w:tcPr>
            <w:tcW w:type="dxa" w:w="243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Juicio + dato</w:t>
            </w:r>
          </w:p>
        </w:tc>
      </w:tr>
      <w:tr>
        <w:trPr>
          <w:cantSplit w:val="true"/>
        </w:trPr>
        <w:tc>
          <w:tcPr>
            <w:tcW w:type="dxa" w:w="531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Ventas: suma por regiones de la v3 → consenso + desaceleración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49.30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+1.27</w:t>
            </w:r>
          </w:p>
        </w:tc>
        <w:tc>
          <w:tcPr>
            <w:tcW w:type="dxa" w:w="243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Juicio</w:t>
            </w:r>
          </w:p>
        </w:tc>
      </w:tr>
      <w:tr>
        <w:trPr>
          <w:cantSplit w:val="true"/>
        </w:trPr>
        <w:tc>
          <w:tcPr>
            <w:tcW w:type="dxa" w:w="531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Margen EBITDA: v3 (a 15.3%) → consenso (fijo en 14.7%)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46.01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b/>
                <w:sz w:val="17"/>
              </w:rPr>
              <w:t>−3.28</w:t>
            </w:r>
          </w:p>
        </w:tc>
        <w:tc>
          <w:tcPr>
            <w:tcW w:type="dxa" w:w="243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Juicio</w:t>
            </w:r>
          </w:p>
        </w:tc>
      </w:tr>
      <w:tr>
        <w:trPr>
          <w:cantSplit w:val="true"/>
        </w:trPr>
        <w:tc>
          <w:tcPr>
            <w:tcW w:type="dxa" w:w="531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Depreciación: ruta de la v3 → mecánica de la plantilla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46.17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+0.16</w:t>
            </w:r>
          </w:p>
        </w:tc>
        <w:tc>
          <w:tcPr>
            <w:tcW w:type="dxa" w:w="243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Mecánica</w:t>
            </w:r>
          </w:p>
        </w:tc>
      </w:tr>
      <w:tr>
        <w:trPr>
          <w:cantSplit w:val="true"/>
        </w:trPr>
        <w:tc>
          <w:tcPr>
            <w:tcW w:type="dxa" w:w="531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Capex sin arrendamientos: v3 → consenso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47.39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+1.21</w:t>
            </w:r>
          </w:p>
        </w:tc>
        <w:tc>
          <w:tcPr>
            <w:tcW w:type="dxa" w:w="243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Juicio</w:t>
            </w:r>
          </w:p>
        </w:tc>
      </w:tr>
      <w:tr>
        <w:trPr>
          <w:cantSplit w:val="true"/>
        </w:trPr>
        <w:tc>
          <w:tcPr>
            <w:tcW w:type="dxa" w:w="531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Arrendamientos nuevos: principal + crecimiento → solo principal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48.63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+1.24</w:t>
            </w:r>
          </w:p>
        </w:tc>
        <w:tc>
          <w:tcPr>
            <w:tcW w:type="dxa" w:w="243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Mecánica</w:t>
            </w:r>
          </w:p>
        </w:tc>
      </w:tr>
      <w:tr>
        <w:trPr>
          <w:cantSplit w:val="true"/>
        </w:trPr>
        <w:tc>
          <w:tcPr>
            <w:tcW w:type="dxa" w:w="531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Capital de trabajo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49.00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+0.37</w:t>
            </w:r>
          </w:p>
        </w:tc>
        <w:tc>
          <w:tcPr>
            <w:tcW w:type="dxa" w:w="243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Juicio</w:t>
            </w:r>
          </w:p>
        </w:tc>
      </w:tr>
      <w:tr>
        <w:trPr>
          <w:cantSplit w:val="true"/>
        </w:trPr>
        <w:tc>
          <w:tcPr>
            <w:tcW w:type="dxa" w:w="531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Impuesto sobre EBIT 34% → 30%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50.31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+1.32</w:t>
            </w:r>
          </w:p>
        </w:tc>
        <w:tc>
          <w:tcPr>
            <w:tcW w:type="dxa" w:w="243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Juicio, señalado</w:t>
            </w:r>
          </w:p>
        </w:tc>
      </w:tr>
      <w:tr>
        <w:trPr>
          <w:cantSplit w:val="true"/>
        </w:trPr>
        <w:tc>
          <w:tcPr>
            <w:tcW w:type="dxa" w:w="531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Múltiplo de salida 6.0x → 6.4x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b/>
                <w:sz w:val="17"/>
              </w:rPr>
              <w:t>54.94</w:t>
            </w:r>
          </w:p>
        </w:tc>
        <w:tc>
          <w:tcPr>
            <w:tcW w:type="dxa" w:w="1108"/>
          </w:tcPr>
          <w:p>
            <w:pPr>
              <w:keepNext w:val="0"/>
              <w:spacing w:after="0"/>
            </w:pPr>
            <w:r/>
            <w:r>
              <w:rPr>
                <w:b/>
                <w:sz w:val="17"/>
              </w:rPr>
              <w:t>+4.63</w:t>
            </w:r>
          </w:p>
        </w:tc>
        <w:tc>
          <w:tcPr>
            <w:tcW w:type="dxa" w:w="243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Juicio + base de datos</w:t>
            </w:r>
          </w:p>
        </w:tc>
      </w:tr>
    </w:tbl>
    <w:p>
      <w:pPr>
        <w:spacing w:after="40"/>
      </w:pPr>
    </w:p>
    <w:p>
      <w:pPr>
        <w:keepNext/>
      </w:pPr>
      <w:r>
        <w:rPr/>
        <w:t>Subtotales: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true"/>
          <w:tblHeader w:val="true"/>
        </w:trPr>
        <w:tc>
          <w:tcPr>
            <w:tcW w:type="dxa" w:w="8017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1955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Cambio</w:t>
            </w:r>
          </w:p>
        </w:tc>
      </w:tr>
      <w:tr>
        <w:trPr>
          <w:cantSplit w:val="true"/>
        </w:trPr>
        <w:tc>
          <w:tcPr>
            <w:tcW w:type="dxa" w:w="8017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Datos y fechas</w:t>
            </w:r>
          </w:p>
        </w:tc>
        <w:tc>
          <w:tcPr>
            <w:tcW w:type="dxa" w:w="1955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−2.50</w:t>
            </w:r>
          </w:p>
        </w:tc>
      </w:tr>
      <w:tr>
        <w:trPr>
          <w:cantSplit w:val="true"/>
        </w:trPr>
        <w:tc>
          <w:tcPr>
            <w:tcW w:type="dxa" w:w="8017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Decisiones del puente</w:t>
            </w:r>
          </w:p>
        </w:tc>
        <w:tc>
          <w:tcPr>
            <w:tcW w:type="dxa" w:w="1955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+3.62</w:t>
            </w:r>
          </w:p>
        </w:tc>
      </w:tr>
      <w:tr>
        <w:trPr>
          <w:cantSplit w:val="true"/>
        </w:trPr>
        <w:tc>
          <w:tcPr>
            <w:tcW w:type="dxa" w:w="8017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WACC</w:t>
            </w:r>
          </w:p>
        </w:tc>
        <w:tc>
          <w:tcPr>
            <w:tcW w:type="dxa" w:w="1955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−0.23</w:t>
            </w:r>
          </w:p>
        </w:tc>
      </w:tr>
      <w:tr>
        <w:trPr>
          <w:cantSplit w:val="true"/>
        </w:trPr>
        <w:tc>
          <w:tcPr>
            <w:tcW w:type="dxa" w:w="8017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Juicios de proyección</w:t>
            </w:r>
          </w:p>
        </w:tc>
        <w:tc>
          <w:tcPr>
            <w:tcW w:type="dxa" w:w="1955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+0.89</w:t>
            </w:r>
          </w:p>
        </w:tc>
      </w:tr>
      <w:tr>
        <w:trPr>
          <w:cantSplit w:val="true"/>
        </w:trPr>
        <w:tc>
          <w:tcPr>
            <w:tcW w:type="dxa" w:w="8017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Mecánica de depreciación y arrendamientos</w:t>
            </w:r>
          </w:p>
        </w:tc>
        <w:tc>
          <w:tcPr>
            <w:tcW w:type="dxa" w:w="1955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+1.40</w:t>
            </w:r>
          </w:p>
        </w:tc>
      </w:tr>
      <w:tr>
        <w:trPr>
          <w:cantSplit w:val="true"/>
        </w:trPr>
        <w:tc>
          <w:tcPr>
            <w:tcW w:type="dxa" w:w="8017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Múltiplo</w:t>
            </w:r>
          </w:p>
        </w:tc>
        <w:tc>
          <w:tcPr>
            <w:tcW w:type="dxa" w:w="1955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+4.63</w:t>
            </w:r>
          </w:p>
        </w:tc>
      </w:tr>
      <w:tr>
        <w:trPr>
          <w:cantSplit w:val="true"/>
        </w:trPr>
        <w:tc>
          <w:tcPr>
            <w:tcW w:type="dxa" w:w="8017"/>
          </w:tcPr>
          <w:p>
            <w:pPr>
              <w:keepNext w:val="0"/>
              <w:spacing w:after="0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1955"/>
          </w:tcPr>
          <w:p>
            <w:pPr>
              <w:keepNext w:val="0"/>
              <w:spacing w:after="0"/>
            </w:pPr>
            <w:r/>
            <w:r>
              <w:rPr>
                <w:b/>
                <w:sz w:val="17"/>
              </w:rPr>
              <w:t>+7.80</w:t>
            </w:r>
          </w:p>
        </w:tc>
      </w:tr>
    </w:tbl>
    <w:p>
      <w:pPr>
        <w:spacing w:after="40"/>
      </w:pPr>
    </w:p>
    <w:p>
      <w:r>
        <w:rPr/>
        <w:t>Diego señaló la mayoría de estos puntos en la sección 7 de su nota:</w:t>
      </w:r>
    </w:p>
    <w:p>
      <w:pPr>
        <w:pStyle w:val="ListBullet"/>
      </w:pPr>
      <w:r>
        <w:rPr/>
        <w:t>las fechas, unos Ps 1.5 por acción;</w:t>
      </w:r>
    </w:p>
    <w:p>
      <w:pPr>
        <w:pStyle w:val="ListBullet"/>
      </w:pPr>
      <w:r>
        <w:rPr/>
        <w:t>la base de arrendamientos de los comparables en US GAAP;</w:t>
      </w:r>
    </w:p>
    <w:p>
      <w:pPr>
        <w:pStyle w:val="ListBullet"/>
      </w:pPr>
      <w:r>
        <w:rPr/>
        <w:t>el EBITDA de Gruma;</w:t>
      </w:r>
    </w:p>
    <w:p>
      <w:pPr>
        <w:pStyle w:val="ListBullet"/>
      </w:pPr>
      <w:r>
        <w:rPr/>
        <w:t>los minoritarios en libros.</w:t>
      </w:r>
    </w:p>
    <w:p>
      <w:pPr>
        <w:pStyle w:val="Heading1"/>
      </w:pPr>
      <w:r>
        <w:rPr/>
        <w:t>4. Dónde difieren de verdad los dos analistas</w:t>
      </w:r>
    </w:p>
    <w:p>
      <w:pPr>
        <w:keepNext/>
      </w:pPr>
      <w:r>
        <w:rPr/>
        <w:t xml:space="preserve">Aquí se pasa del juego de la v3 al de Diego un juicio a la vez. Los datos y la mecánica se mantienen iguales: deuda de la empresa, minoritarios a mercado, depreciación y arrendamientos de la v3, y anclaje al 30-jun </w:t>
      </w:r>
      <w:r>
        <w:rPr>
          <w:rFonts w:ascii="Consolas" w:hAnsi="Consolas"/>
          <w:color w:val="7F3F00"/>
          <w:sz w:val="18"/>
        </w:rPr>
        <w:t>[calc]</w:t>
      </w:r>
      <w:r>
        <w:rPr/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  <w:tblHeader w:val="true"/>
        </w:trPr>
        <w:tc>
          <w:tcPr>
            <w:tcW w:type="dxa" w:w="4884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Juicio</w:t>
            </w:r>
          </w:p>
        </w:tc>
        <w:tc>
          <w:tcPr>
            <w:tcW w:type="dxa" w:w="1018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Múltiplo</w:t>
            </w:r>
          </w:p>
        </w:tc>
        <w:tc>
          <w:tcPr>
            <w:tcW w:type="dxa" w:w="1018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Cambio</w:t>
            </w:r>
          </w:p>
        </w:tc>
        <w:tc>
          <w:tcPr>
            <w:tcW w:type="dxa" w:w="2035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Gordon (RONIC 14.6%)</w:t>
            </w:r>
          </w:p>
        </w:tc>
        <w:tc>
          <w:tcPr>
            <w:tcW w:type="dxa" w:w="1018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Cambio</w:t>
            </w:r>
          </w:p>
        </w:tc>
      </w:tr>
      <w:tr>
        <w:trPr>
          <w:cantSplit w:val="true"/>
        </w:trPr>
        <w:tc>
          <w:tcPr>
            <w:tcW w:type="dxa" w:w="488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Juego de la v3 (= Alejandro)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47.13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</w:p>
        </w:tc>
        <w:tc>
          <w:tcPr>
            <w:tcW w:type="dxa" w:w="2035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30.36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</w:p>
        </w:tc>
      </w:tr>
      <w:tr>
        <w:trPr>
          <w:cantSplit w:val="true"/>
        </w:trPr>
        <w:tc>
          <w:tcPr>
            <w:tcW w:type="dxa" w:w="488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Beta desapalancada 0.53 → 0.56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46.88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−0.26</w:t>
            </w:r>
          </w:p>
        </w:tc>
        <w:tc>
          <w:tcPr>
            <w:tcW w:type="dxa" w:w="2035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29.10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−1.26</w:t>
            </w:r>
          </w:p>
        </w:tc>
      </w:tr>
      <w:tr>
        <w:trPr>
          <w:cantSplit w:val="true"/>
        </w:trPr>
        <w:tc>
          <w:tcPr>
            <w:tcW w:type="dxa" w:w="488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Ventas → consenso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48.08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+1.21</w:t>
            </w:r>
          </w:p>
        </w:tc>
        <w:tc>
          <w:tcPr>
            <w:tcW w:type="dxa" w:w="2035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30.10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+1.01</w:t>
            </w:r>
          </w:p>
        </w:tc>
      </w:tr>
      <w:tr>
        <w:trPr>
          <w:cantSplit w:val="true"/>
        </w:trPr>
        <w:tc>
          <w:tcPr>
            <w:tcW w:type="dxa" w:w="4884"/>
          </w:tcPr>
          <w:p>
            <w:pPr>
              <w:keepNext/>
              <w:spacing w:after="0"/>
            </w:pPr>
            <w:r/>
            <w:r>
              <w:rPr>
                <w:b/>
                <w:sz w:val="17"/>
              </w:rPr>
              <w:t>Margen EBITDA → consenso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44.75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b/>
                <w:sz w:val="17"/>
              </w:rPr>
              <w:t>−3.33</w:t>
            </w:r>
          </w:p>
        </w:tc>
        <w:tc>
          <w:tcPr>
            <w:tcW w:type="dxa" w:w="2035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25.92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b/>
                <w:sz w:val="17"/>
              </w:rPr>
              <w:t>−4.18</w:t>
            </w:r>
          </w:p>
        </w:tc>
      </w:tr>
      <w:tr>
        <w:trPr>
          <w:cantSplit w:val="true"/>
        </w:trPr>
        <w:tc>
          <w:tcPr>
            <w:tcW w:type="dxa" w:w="488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Capex sin arrendamientos → consenso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45.81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+1.06</w:t>
            </w:r>
          </w:p>
        </w:tc>
        <w:tc>
          <w:tcPr>
            <w:tcW w:type="dxa" w:w="2035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26.98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+1.06</w:t>
            </w:r>
          </w:p>
        </w:tc>
      </w:tr>
      <w:tr>
        <w:trPr>
          <w:cantSplit w:val="true"/>
        </w:trPr>
        <w:tc>
          <w:tcPr>
            <w:tcW w:type="dxa" w:w="488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Capital de trabajo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46.18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+0.37</w:t>
            </w:r>
          </w:p>
        </w:tc>
        <w:tc>
          <w:tcPr>
            <w:tcW w:type="dxa" w:w="2035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27.35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+0.37</w:t>
            </w:r>
          </w:p>
        </w:tc>
      </w:tr>
      <w:tr>
        <w:trPr>
          <w:cantSplit w:val="true"/>
        </w:trPr>
        <w:tc>
          <w:tcPr>
            <w:tcW w:type="dxa" w:w="488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Impuesto sobre EBIT 34% → 30%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47.63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+1.45</w:t>
            </w:r>
          </w:p>
        </w:tc>
        <w:tc>
          <w:tcPr>
            <w:tcW w:type="dxa" w:w="2035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32.15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b/>
                <w:sz w:val="17"/>
              </w:rPr>
              <w:t>+4.80</w:t>
            </w:r>
          </w:p>
        </w:tc>
      </w:tr>
      <w:tr>
        <w:trPr>
          <w:cantSplit w:val="true"/>
        </w:trPr>
        <w:tc>
          <w:tcPr>
            <w:tcW w:type="dxa" w:w="488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Múltiplo de salida 6.0x → 5.83x (su regla con datos consistentes en arrendamientos)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b/>
                <w:sz w:val="17"/>
              </w:rPr>
              <w:t>45.71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−1.93</w:t>
            </w:r>
          </w:p>
        </w:tc>
        <w:tc>
          <w:tcPr>
            <w:tcW w:type="dxa" w:w="2035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32.15</w:t>
            </w:r>
          </w:p>
        </w:tc>
        <w:tc>
          <w:tcPr>
            <w:tcW w:type="dxa" w:w="101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0.00</w:t>
            </w:r>
          </w:p>
        </w:tc>
      </w:tr>
      <w:tr>
        <w:trPr>
          <w:cantSplit w:val="true"/>
        </w:trPr>
        <w:tc>
          <w:tcPr>
            <w:tcW w:type="dxa" w:w="4884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g 4.25% → 4.00%</w:t>
            </w:r>
          </w:p>
        </w:tc>
        <w:tc>
          <w:tcPr>
            <w:tcW w:type="dxa" w:w="10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45.71</w:t>
            </w:r>
          </w:p>
        </w:tc>
        <w:tc>
          <w:tcPr>
            <w:tcW w:type="dxa" w:w="10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0.00</w:t>
            </w:r>
          </w:p>
        </w:tc>
        <w:tc>
          <w:tcPr>
            <w:tcW w:type="dxa" w:w="2035"/>
          </w:tcPr>
          <w:p>
            <w:pPr>
              <w:keepNext w:val="0"/>
              <w:spacing w:after="0"/>
            </w:pPr>
            <w:r/>
            <w:r>
              <w:rPr>
                <w:b/>
                <w:sz w:val="17"/>
              </w:rPr>
              <w:t>31.09</w:t>
            </w:r>
          </w:p>
        </w:tc>
        <w:tc>
          <w:tcPr>
            <w:tcW w:type="dxa" w:w="101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−1.06</w:t>
            </w:r>
          </w:p>
        </w:tc>
      </w:tr>
    </w:tbl>
    <w:p>
      <w:pPr>
        <w:spacing w:after="40"/>
      </w:pPr>
    </w:p>
    <w:p>
      <w:r>
        <w:rPr>
          <w:b/>
        </w:rPr>
        <w:t>Lectura.</w:t>
      </w:r>
      <w:r>
        <w:rPr/>
        <w:t xml:space="preserve"> La diferencia de fondo es el margen.</w:t>
      </w:r>
    </w:p>
    <w:p>
      <w:pPr>
        <w:pStyle w:val="ListBullet"/>
      </w:pPr>
      <w:r>
        <w:rPr/>
        <w:t>La v3 espera que el plan de productividad (pilar 2) lleve el margen EBITDA a 15.3%. El consenso lo deja en 14.7%.</w:t>
      </w:r>
    </w:p>
    <w:p>
      <w:pPr>
        <w:pStyle w:val="ListBullet"/>
      </w:pPr>
      <w:r>
        <w:rPr/>
        <w:t>El juego de Diego es más generoso en ventas, capex e impuesto, y eso compensa la diferencia de margen.</w:t>
      </w:r>
    </w:p>
    <w:p>
      <w:r>
        <w:rPr>
          <w:b/>
        </w:rPr>
        <w:t>Pregunta que deja:</w:t>
      </w:r>
      <w:r>
        <w:rPr/>
        <w:t xml:space="preserve"> ¿los 60 pb de margen arriba del consenso en FY2030 son algo que el equipo puede respaldar con evidencia, o son la tesis misma?</w:t>
      </w:r>
    </w:p>
    <w:p>
      <w:pPr>
        <w:pStyle w:val="Heading1"/>
      </w:pPr>
      <w:r>
        <w:rPr/>
        <w:t>5. Cómo se construyó el DCF consolidado</w:t>
      </w:r>
    </w:p>
    <w:p>
      <w:r>
        <w:rPr/>
        <w:t>La regla es promediar los juicios, no los errores:</w:t>
      </w:r>
    </w:p>
    <w:p>
      <w:pPr>
        <w:pStyle w:val="ListBullet"/>
      </w:pPr>
      <w:r>
        <w:rPr/>
        <w:t>Los datos llevan un solo valor con fuente.</w:t>
      </w:r>
    </w:p>
    <w:p>
      <w:pPr>
        <w:pStyle w:val="ListBullet"/>
      </w:pPr>
      <w:r>
        <w:rPr/>
        <w:t>La mecánica lleva una sola convención, la técnicamente correcta.</w:t>
      </w:r>
    </w:p>
    <w:p>
      <w:pPr>
        <w:pStyle w:val="ListBullet"/>
      </w:pPr>
      <w:r>
        <w:rPr/>
        <w:t>Solo se promedian los juicios.</w:t>
      </w:r>
    </w:p>
    <w:p>
      <w:r>
        <w:rPr/>
        <w:t>Promediar un error de datos con la cifra correcta solo reduce el error a la mitad.</w:t>
      </w:r>
    </w:p>
    <w:p>
      <w:pPr>
        <w:pStyle w:val="Heading2"/>
      </w:pPr>
      <w:r>
        <w:rPr/>
        <w:t>5.1 Datos</w:t>
      </w:r>
    </w:p>
    <w:p>
      <w:r>
        <w:rPr>
          <w:b/>
        </w:rPr>
        <w:t>Deuda con arrendamientos: 187,021 (cifra de la empresa).</w:t>
      </w:r>
      <w:r>
        <w:rPr/>
        <w:t xml:space="preserve"> La de Diego, 194,918, es 7,897 más alta. Esta conciliación debe confirmarla Diego; no es un error confirmado </w:t>
      </w:r>
      <w:r>
        <w:rPr>
          <w:rFonts w:ascii="Consolas" w:hAnsi="Consolas"/>
          <w:color w:val="7F3F00"/>
          <w:sz w:val="18"/>
        </w:rPr>
        <w:t>[calc]</w:t>
      </w:r>
      <w:r>
        <w:rPr/>
        <w:t>.</w:t>
      </w:r>
    </w:p>
    <w:p>
      <w:pPr>
        <w:pStyle w:val="ListBullet"/>
      </w:pPr>
      <w:r>
        <w:rPr>
          <w:b/>
        </w:rPr>
        <w:t>Derivados (2,658).</w:t>
      </w:r>
      <w:r>
        <w:rPr/>
        <w:t xml:space="preserve"> La deuda total de Capital IQ a jun-26 es 189,679: deuda financiera de 153,660, más arrendamientos de 33,361, más ajustes por derivados de 2,658 (wiki </w:t>
      </w:r>
      <w:r>
        <w:rPr>
          <w:rFonts w:ascii="Consolas" w:hAnsi="Consolas"/>
          <w:color w:val="7F3F00"/>
          <w:sz w:val="18"/>
        </w:rPr>
        <w:t>ciq-debt-stack-and-maturity-ladder</w:t>
      </w:r>
      <w:r>
        <w:rPr/>
        <w:t>). Los derivados ya están entre los otros pasivos que resta Gordon.</w:t>
      </w:r>
    </w:p>
    <w:p>
      <w:pPr>
        <w:pStyle w:val="ListBullet"/>
      </w:pPr>
      <w:r>
        <w:rPr>
          <w:b/>
        </w:rPr>
        <w:t>Tipo de cambio (5,239).</w:t>
      </w:r>
      <w:r>
        <w:rPr/>
        <w:t xml:space="preserve"> Diego reconvirtió los US$10,855 millones a 17.96 MXN/US$, el tipo que la wiki </w:t>
      </w:r>
      <w:r>
        <w:rPr>
          <w:rFonts w:ascii="Consolas" w:hAnsi="Consolas"/>
          <w:color w:val="7F3F00"/>
          <w:sz w:val="18"/>
        </w:rPr>
        <w:t>bimbo-wacc-market-inputs-capiq-2026-10</w:t>
      </w:r>
      <w:r>
        <w:rPr/>
        <w:t xml:space="preserve"> dice que usó Capital IQ. Sin embargo, las cifras de Capital IQ en pesos (189,679) y en dólares (10,855) implican 17.47. El efectivo respalda el 17.47: US$948 millones × 17.47 = 16,565, contra 16,563 de la empresa.</w:t>
      </w:r>
    </w:p>
    <w:p>
      <w:r>
        <w:rPr>
          <w:b/>
        </w:rPr>
        <w:t>Otros datos:</w:t>
      </w:r>
    </w:p>
    <w:p>
      <w:pPr>
        <w:pStyle w:val="ListBullet"/>
      </w:pPr>
      <w:r>
        <w:rPr>
          <w:b/>
        </w:rPr>
        <w:t>Efectivo:</w:t>
      </w:r>
      <w:r>
        <w:rPr/>
        <w:t xml:space="preserve"> 16,563. La misma reconversión le suma 460 a la cifra de Diego.</w:t>
      </w:r>
    </w:p>
    <w:p>
      <w:pPr>
        <w:pStyle w:val="ListBullet"/>
      </w:pPr>
      <w:r>
        <w:rPr>
          <w:b/>
        </w:rPr>
        <w:t>Acciones:</w:t>
      </w:r>
      <w:r>
        <w:rPr/>
        <w:t xml:space="preserve"> 4,294.9 millones (aviso a la BMV del 29-jul-2026).</w:t>
      </w:r>
    </w:p>
    <w:p>
      <w:pPr>
        <w:pStyle w:val="Heading2"/>
      </w:pPr>
      <w:r>
        <w:rPr/>
        <w:t>5.2 Mecánica</w:t>
      </w:r>
    </w:p>
    <w:p>
      <w:pPr>
        <w:pStyle w:val="ListBullet"/>
      </w:pPr>
      <w:r>
        <w:rPr>
          <w:b/>
        </w:rPr>
        <w:t>Fecha de valuación.</w:t>
      </w:r>
      <w:r>
        <w:rPr/>
        <w:t xml:space="preserve"> Los flujos y el balance se anclan al 30-jun-2026 y el valor se lleva al 16-oct con ke (el método de Alejandro).</w:t>
      </w:r>
    </w:p>
    <w:p>
      <w:pPr>
        <w:pStyle w:val="ListBullet"/>
      </w:pPr>
      <w:r>
        <w:rPr>
          <w:b/>
        </w:rPr>
        <w:t>Depreciación.</w:t>
      </w:r>
      <w:r>
        <w:rPr/>
        <w:t xml:space="preserve"> Se usa la ruta de la v3 (5.85-5.9% de las ventas). La de Diego es mecánica de la plantilla, no un juicio, y él mismo la etiqueta así. Lleva la depreciación al 100% del capex más arrendamientos en FY2030, lo que equivale a cero inversión neta mientras las ventas crecen cerca de 4% al año.</w:t>
      </w:r>
    </w:p>
    <w:p>
      <w:pPr>
        <w:pStyle w:val="ListBullet"/>
      </w:pPr>
      <w:r>
        <w:rPr>
          <w:b/>
        </w:rPr>
        <w:t>Arrendamientos nuevos.</w:t>
      </w:r>
      <w:r>
        <w:rPr/>
        <w:t xml:space="preserve"> Son el principal (1.39% de las ventas) más el crecimiento del pasivo por arrendamiento, que se mantiene en 8.15% de las ventas. Es la base publicada de la v3. La base de Diego, solo el principal, deja fijo el pasivo mientras las ventas crecen.</w:t>
      </w:r>
    </w:p>
    <w:p>
      <w:pPr>
        <w:pStyle w:val="ListBullet"/>
      </w:pPr>
      <w:r>
        <w:rPr>
          <w:b/>
        </w:rPr>
        <w:t>Puente de valor.</w:t>
      </w:r>
    </w:p>
    <w:p>
      <w:pPr>
        <w:pStyle w:val="ListBullet2"/>
      </w:pPr>
      <w:r>
        <w:rPr/>
        <w:t>Se suman las asociadas y se resta el ISR estacional por pagar.</w:t>
      </w:r>
    </w:p>
    <w:p>
      <w:pPr>
        <w:pStyle w:val="ListBullet2"/>
      </w:pPr>
      <w:r>
        <w:rPr/>
        <w:t>Pensiones, provisiones y derivados (18,135) se restan solo en Gordon, porque los valores empresa de los comparables no los incluyen.</w:t>
      </w:r>
    </w:p>
    <w:p>
      <w:pPr>
        <w:pStyle w:val="ListBullet2"/>
      </w:pPr>
      <w:r>
        <w:rPr/>
        <w:t>Los minoritarios van a valor de mercado: utilidad de los minoritarios 1,814 / (ke − 3%). Es el tratamiento de la v3 y sigue siendo provisional.</w:t>
      </w:r>
    </w:p>
    <w:p>
      <w:pPr>
        <w:pStyle w:val="Heading2"/>
      </w:pPr>
      <w:r>
        <w:rPr/>
        <w:t>5.3 Juicios</w:t>
      </w:r>
    </w:p>
    <w:p>
      <w:r>
        <w:rPr/>
        <w:t>Los juicios se promedian con peso w para la v3. Recomiendo w = 0.5 porque hay dos juegos de supuestos. Con w = 0.6667, cada modelo pesa un tercio.</w:t>
      </w:r>
    </w:p>
    <w:p>
      <w:pPr>
        <w:pStyle w:val="Heading2"/>
      </w:pPr>
      <w:r>
        <w:rPr/>
        <w:t>5.4 Múltiplo de salida</w:t>
      </w:r>
    </w:p>
    <w:p>
      <w:r>
        <w:rPr/>
        <w:t>La regla de Diego es la mediana de sus cuatro comparables núcleo. La aplicó a múltiplos de Capital IQ que no están en una misma base:</w:t>
      </w:r>
    </w:p>
    <w:p>
      <w:pPr>
        <w:pStyle w:val="ListBullet"/>
      </w:pPr>
      <w:r>
        <w:rPr/>
        <w:t>Los comparables en US GAAP dejan el costo de arrendamiento operativo dentro del EBITDA, mientras su deuda incluye arrendamientos.</w:t>
      </w:r>
    </w:p>
    <w:p>
      <w:pPr>
        <w:pStyle w:val="ListBullet"/>
      </w:pPr>
      <w:r>
        <w:rPr/>
        <w:t>El EBITDA de Gruma en Capital IQ es 995.0, contra 1,108.9 de la empresa.</w:t>
      </w:r>
    </w:p>
    <w:p>
      <w:pPr>
        <w:keepNext/>
      </w:pPr>
      <w:r>
        <w:rPr/>
        <w:t>En la tabla de la v3, consistente en arrendamientos, los mismos cuatro dan 5.83x: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true"/>
          <w:tblHeader w:val="true"/>
        </w:trPr>
        <w:tc>
          <w:tcPr>
            <w:tcW w:type="dxa" w:w="1935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Comparable</w:t>
            </w:r>
          </w:p>
        </w:tc>
        <w:tc>
          <w:tcPr>
            <w:tcW w:type="dxa" w:w="2084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Tabla de Diego</w:t>
            </w:r>
          </w:p>
        </w:tc>
        <w:tc>
          <w:tcPr>
            <w:tcW w:type="dxa" w:w="5954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Consistente en arrendamientos (tabla v3)</w:t>
            </w:r>
          </w:p>
        </w:tc>
      </w:tr>
      <w:tr>
        <w:trPr>
          <w:cantSplit w:val="true"/>
        </w:trPr>
        <w:tc>
          <w:tcPr>
            <w:tcW w:type="dxa" w:w="1935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Flowers Foods</w:t>
            </w:r>
          </w:p>
        </w:tc>
        <w:tc>
          <w:tcPr>
            <w:tcW w:type="dxa" w:w="208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6.68x</w:t>
            </w:r>
          </w:p>
        </w:tc>
        <w:tc>
          <w:tcPr>
            <w:tcW w:type="dxa" w:w="595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5.61x</w:t>
            </w:r>
          </w:p>
        </w:tc>
      </w:tr>
      <w:tr>
        <w:trPr>
          <w:cantSplit w:val="true"/>
        </w:trPr>
        <w:tc>
          <w:tcPr>
            <w:tcW w:type="dxa" w:w="1935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Gruma</w:t>
            </w:r>
          </w:p>
        </w:tc>
        <w:tc>
          <w:tcPr>
            <w:tcW w:type="dxa" w:w="208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6.01x</w:t>
            </w:r>
          </w:p>
        </w:tc>
        <w:tc>
          <w:tcPr>
            <w:tcW w:type="dxa" w:w="595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5.44x</w:t>
            </w:r>
          </w:p>
        </w:tc>
      </w:tr>
      <w:tr>
        <w:trPr>
          <w:cantSplit w:val="true"/>
        </w:trPr>
        <w:tc>
          <w:tcPr>
            <w:tcW w:type="dxa" w:w="1935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Yamazaki</w:t>
            </w:r>
          </w:p>
        </w:tc>
        <w:tc>
          <w:tcPr>
            <w:tcW w:type="dxa" w:w="208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6.06x</w:t>
            </w:r>
          </w:p>
        </w:tc>
        <w:tc>
          <w:tcPr>
            <w:tcW w:type="dxa" w:w="595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6.06x</w:t>
            </w:r>
          </w:p>
        </w:tc>
      </w:tr>
      <w:tr>
        <w:trPr>
          <w:cantSplit w:val="true"/>
        </w:trPr>
        <w:tc>
          <w:tcPr>
            <w:tcW w:type="dxa" w:w="1935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Aryzta</w:t>
            </w:r>
          </w:p>
        </w:tc>
        <w:tc>
          <w:tcPr>
            <w:tcW w:type="dxa" w:w="208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8.33x</w:t>
            </w:r>
          </w:p>
        </w:tc>
        <w:tc>
          <w:tcPr>
            <w:tcW w:type="dxa" w:w="595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8.33x</w:t>
            </w:r>
          </w:p>
        </w:tc>
      </w:tr>
      <w:tr>
        <w:trPr>
          <w:cantSplit w:val="true"/>
        </w:trPr>
        <w:tc>
          <w:tcPr>
            <w:tcW w:type="dxa" w:w="1935"/>
          </w:tcPr>
          <w:p>
            <w:pPr>
              <w:keepNext w:val="0"/>
              <w:spacing w:after="0"/>
            </w:pPr>
            <w:r/>
            <w:r>
              <w:rPr>
                <w:b/>
                <w:sz w:val="17"/>
              </w:rPr>
              <w:t>Mediana</w:t>
            </w:r>
          </w:p>
        </w:tc>
        <w:tc>
          <w:tcPr>
            <w:tcW w:type="dxa" w:w="2084"/>
          </w:tcPr>
          <w:p>
            <w:pPr>
              <w:keepNext w:val="0"/>
              <w:spacing w:after="0"/>
            </w:pPr>
            <w:r/>
            <w:r>
              <w:rPr>
                <w:b/>
                <w:sz w:val="17"/>
              </w:rPr>
              <w:t>6.37x</w:t>
            </w:r>
          </w:p>
        </w:tc>
        <w:tc>
          <w:tcPr>
            <w:tcW w:type="dxa" w:w="5954"/>
          </w:tcPr>
          <w:p>
            <w:pPr>
              <w:keepNext w:val="0"/>
              <w:spacing w:after="0"/>
            </w:pPr>
            <w:r/>
            <w:r>
              <w:rPr>
                <w:b/>
                <w:sz w:val="17"/>
              </w:rPr>
              <w:t>5.83x</w:t>
            </w:r>
          </w:p>
        </w:tc>
      </w:tr>
    </w:tbl>
    <w:p>
      <w:pPr>
        <w:spacing w:after="40"/>
      </w:pPr>
    </w:p>
    <w:p>
      <w:r>
        <w:rPr/>
        <w:t xml:space="preserve">La base usa (6.0x + 5.83x) / 2 = </w:t>
      </w:r>
      <w:r>
        <w:rPr>
          <w:b/>
        </w:rPr>
        <w:t>5.92x</w:t>
      </w:r>
      <w:r>
        <w:rPr/>
        <w:t>. El promedio sin ajustar, 6.2x, se muestra como variante (+3.33 por acción).</w:t>
      </w:r>
    </w:p>
    <w:p>
      <w:pPr>
        <w:pStyle w:val="Heading2"/>
      </w:pPr>
      <w:r>
        <w:rPr/>
        <w:t>5.5 Horizonte y reinversión terminal</w:t>
      </w:r>
    </w:p>
    <w:p>
      <w:r>
        <w:rPr/>
        <w:t>Los dos compañeros usaron la plantilla de cinco años, así que el consolidado también. Los valores de la v3 a diez años quedan como referencia.</w:t>
      </w:r>
    </w:p>
    <w:p>
      <w:r>
        <w:rPr/>
        <w:t>Con cinco años desaparece el juicio principal de la v3: el capex que sube a 6.0% en 2035. Por eso la reinversión terminal entra como supuesto explícito: un rendimiento sobre capital nuevo (RONIC) de 14.6%, el que implica el valor terminal publicado de la v3. Diego no tiene un Gordon ni un juicio de reinversión, así que aquí no hay nada que promediar.</w:t>
      </w:r>
    </w:p>
    <w:p>
      <w:pPr>
        <w:pStyle w:val="Heading1"/>
        <w:keepNext/>
      </w:pPr>
      <w:r>
        <w:rPr/>
        <w:t>6. Resultados consolidados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  <w:tblHeader w:val="true"/>
        </w:trPr>
        <w:tc>
          <w:tcPr>
            <w:tcW w:type="dxa" w:w="4516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941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Valor hoy</w:t>
            </w:r>
          </w:p>
        </w:tc>
        <w:tc>
          <w:tcPr>
            <w:tcW w:type="dxa" w:w="941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vs 58.60</w:t>
            </w:r>
          </w:p>
        </w:tc>
        <w:tc>
          <w:tcPr>
            <w:tcW w:type="dxa" w:w="1599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Valor a 12 meses*</w:t>
            </w:r>
          </w:p>
        </w:tc>
        <w:tc>
          <w:tcPr>
            <w:tcW w:type="dxa" w:w="1976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Rendimiento esperado*</w:t>
            </w:r>
          </w:p>
        </w:tc>
      </w:tr>
      <w:tr>
        <w:trPr>
          <w:cantSplit w:val="true"/>
        </w:trPr>
        <w:tc>
          <w:tcPr>
            <w:tcW w:type="dxa" w:w="4516"/>
          </w:tcPr>
          <w:p>
            <w:pPr>
              <w:keepNext/>
              <w:spacing w:after="0"/>
            </w:pPr>
            <w:r/>
            <w:r>
              <w:rPr>
                <w:b/>
                <w:sz w:val="17"/>
              </w:rPr>
              <w:t>Múltiplo de salida 5.92x</w:t>
            </w:r>
          </w:p>
        </w:tc>
        <w:tc>
          <w:tcPr>
            <w:tcW w:type="dxa" w:w="941"/>
          </w:tcPr>
          <w:p>
            <w:pPr>
              <w:keepNext/>
              <w:spacing w:after="0"/>
            </w:pPr>
            <w:r/>
            <w:r>
              <w:rPr>
                <w:b/>
                <w:sz w:val="17"/>
              </w:rPr>
              <w:t>46.42</w:t>
            </w:r>
          </w:p>
        </w:tc>
        <w:tc>
          <w:tcPr>
            <w:tcW w:type="dxa" w:w="941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−20.8%</w:t>
            </w:r>
          </w:p>
        </w:tc>
        <w:tc>
          <w:tcPr>
            <w:tcW w:type="dxa" w:w="159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51.42</w:t>
            </w:r>
          </w:p>
        </w:tc>
        <w:tc>
          <w:tcPr>
            <w:tcW w:type="dxa" w:w="1976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−10.5%</w:t>
            </w:r>
          </w:p>
        </w:tc>
      </w:tr>
      <w:tr>
        <w:trPr>
          <w:cantSplit w:val="true"/>
        </w:trPr>
        <w:tc>
          <w:tcPr>
            <w:tcW w:type="dxa" w:w="4516"/>
          </w:tcPr>
          <w:p>
            <w:pPr>
              <w:keepNext/>
              <w:spacing w:after="0"/>
            </w:pPr>
            <w:r/>
            <w:r>
              <w:rPr>
                <w:b/>
                <w:sz w:val="17"/>
              </w:rPr>
              <w:t>Gordon, RONIC 14.6%</w:t>
            </w:r>
          </w:p>
        </w:tc>
        <w:tc>
          <w:tcPr>
            <w:tcW w:type="dxa" w:w="941"/>
          </w:tcPr>
          <w:p>
            <w:pPr>
              <w:keepNext/>
              <w:spacing w:after="0"/>
            </w:pPr>
            <w:r/>
            <w:r>
              <w:rPr>
                <w:b/>
                <w:sz w:val="17"/>
              </w:rPr>
              <w:t>30.76</w:t>
            </w:r>
          </w:p>
        </w:tc>
        <w:tc>
          <w:tcPr>
            <w:tcW w:type="dxa" w:w="941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−47.5%</w:t>
            </w:r>
          </w:p>
        </w:tc>
        <w:tc>
          <w:tcPr>
            <w:tcW w:type="dxa" w:w="159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33.72</w:t>
            </w:r>
          </w:p>
        </w:tc>
        <w:tc>
          <w:tcPr>
            <w:tcW w:type="dxa" w:w="1976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−40.7%</w:t>
            </w:r>
          </w:p>
        </w:tc>
      </w:tr>
      <w:tr>
        <w:trPr>
          <w:cantSplit w:val="true"/>
        </w:trPr>
        <w:tc>
          <w:tcPr>
            <w:tcW w:type="dxa" w:w="4516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Gordon al estilo de la plantilla (flujo FY2030 × (1 + g))</w:t>
            </w:r>
          </w:p>
        </w:tc>
        <w:tc>
          <w:tcPr>
            <w:tcW w:type="dxa" w:w="941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41.65</w:t>
            </w:r>
          </w:p>
        </w:tc>
        <w:tc>
          <w:tcPr>
            <w:tcW w:type="dxa" w:w="941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−28.9%</w:t>
            </w:r>
          </w:p>
        </w:tc>
        <w:tc>
          <w:tcPr>
            <w:tcW w:type="dxa" w:w="159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46.03</w:t>
            </w:r>
          </w:p>
        </w:tc>
        <w:tc>
          <w:tcPr>
            <w:tcW w:type="dxa" w:w="1976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−19.7%</w:t>
            </w:r>
          </w:p>
        </w:tc>
      </w:tr>
      <w:tr>
        <w:trPr>
          <w:cantSplit w:val="true"/>
        </w:trPr>
        <w:tc>
          <w:tcPr>
            <w:tcW w:type="dxa" w:w="4516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Gordon con RONIC = WACC (crecer no crea valor)</w:t>
            </w:r>
          </w:p>
        </w:tc>
        <w:tc>
          <w:tcPr>
            <w:tcW w:type="dxa" w:w="941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21.36</w:t>
            </w:r>
          </w:p>
        </w:tc>
        <w:tc>
          <w:tcPr>
            <w:tcW w:type="dxa" w:w="941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−63.6%</w:t>
            </w:r>
          </w:p>
        </w:tc>
        <w:tc>
          <w:tcPr>
            <w:tcW w:type="dxa" w:w="159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23.09</w:t>
            </w:r>
          </w:p>
        </w:tc>
        <w:tc>
          <w:tcPr>
            <w:tcW w:type="dxa" w:w="1976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−58.8%</w:t>
            </w:r>
          </w:p>
        </w:tc>
      </w:tr>
    </w:tbl>
    <w:p>
      <w:pPr>
        <w:spacing w:after="40"/>
      </w:pPr>
    </w:p>
    <w:p>
      <w:r>
        <w:rPr/>
        <w:t xml:space="preserve">* Convención de </w:t>
      </w:r>
      <w:r>
        <w:rPr>
          <w:rFonts w:ascii="Consolas" w:hAnsi="Consolas"/>
          <w:color w:val="7F3F00"/>
          <w:sz w:val="18"/>
        </w:rPr>
        <w:t>references/recommendation-guide.md</w:t>
      </w:r>
      <w:r>
        <w:rPr/>
        <w:t>:</w:t>
      </w:r>
    </w:p>
    <w:p>
      <w:pPr>
        <w:pStyle w:val="ListBullet"/>
      </w:pPr>
      <w:r>
        <w:rPr/>
        <w:t>valor a 12 meses = valor × (1 + ke) − siguiente dividendo (Ps 1.05);</w:t>
      </w:r>
    </w:p>
    <w:p>
      <w:pPr>
        <w:pStyle w:val="ListBullet"/>
      </w:pPr>
      <w:r>
        <w:rPr/>
        <w:t>rendimiento esperado = valor a 12 meses / precio − 1 + dividendo / precio;</w:t>
      </w:r>
    </w:p>
    <w:p>
      <w:pPr>
        <w:pStyle w:val="ListBullet"/>
      </w:pPr>
      <w:r>
        <w:rPr/>
        <w:t>BUY con +15% o más; SELL con −10% o menos.</w:t>
      </w:r>
    </w:p>
    <w:p>
      <w:r>
        <w:rPr/>
        <w:t xml:space="preserve">Con ke de 13.04%, HOLD necesita un valor hoy de al menos </w:t>
      </w:r>
      <w:r>
        <w:rPr>
          <w:b/>
        </w:rPr>
        <w:t>46.66</w:t>
      </w:r>
      <w:r>
        <w:rPr/>
        <w:t xml:space="preserve"> y BUY de al menos 59.62 </w:t>
      </w:r>
      <w:r>
        <w:rPr>
          <w:rFonts w:ascii="Consolas" w:hAnsi="Consolas"/>
          <w:color w:val="7F3F00"/>
          <w:sz w:val="18"/>
        </w:rPr>
        <w:t>[calc]</w:t>
      </w:r>
      <w:r>
        <w:rPr/>
        <w:t>.</w:t>
      </w:r>
    </w:p>
    <w:p>
      <w:r>
        <w:rPr/>
        <w:t>Supuestos clave:</w:t>
      </w:r>
    </w:p>
    <w:p>
      <w:pPr>
        <w:pStyle w:val="ListBullet"/>
      </w:pPr>
      <w:r>
        <w:rPr/>
        <w:t>WACC 10.38%; ke 13.04%; beta apalancada 0.828</w:t>
      </w:r>
    </w:p>
    <w:p>
      <w:pPr>
        <w:pStyle w:val="ListBullet"/>
      </w:pPr>
      <w:r>
        <w:rPr/>
        <w:t>g 4.125%; múltiplo de salida 5.92x</w:t>
      </w:r>
    </w:p>
    <w:p>
      <w:pPr>
        <w:pStyle w:val="ListBullet"/>
      </w:pPr>
      <w:r>
        <w:rPr/>
        <w:t>impuesto sobre EBIT 32%</w:t>
      </w:r>
    </w:p>
    <w:p>
      <w:pPr>
        <w:pStyle w:val="ListBullet"/>
      </w:pPr>
      <w:r>
        <w:rPr/>
        <w:t>el valor terminal pesa 76% del valor empresa (múltiplo)</w:t>
      </w:r>
    </w:p>
    <w:p>
      <w:pPr>
        <w:pStyle w:val="ListBullet"/>
      </w:pPr>
      <w:r>
        <w:rPr/>
        <w:t xml:space="preserve">el múltiplo implica que el flujo libre crece 4.16% a perpetuidad </w:t>
      </w:r>
      <w:r>
        <w:rPr>
          <w:rFonts w:ascii="Consolas" w:hAnsi="Consolas"/>
          <w:color w:val="7F3F00"/>
          <w:sz w:val="18"/>
        </w:rPr>
        <w:t>[calc]</w:t>
      </w:r>
    </w:p>
    <w:p>
      <w:pPr>
        <w:keepNext/>
      </w:pPr>
      <w:r>
        <w:rPr>
          <w:b/>
        </w:rPr>
        <w:t>Un cambio a la vez contra la 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  <w:tblHeader w:val="true"/>
        </w:trPr>
        <w:tc>
          <w:tcPr>
            <w:tcW w:type="dxa" w:w="4693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Variante</w:t>
            </w:r>
          </w:p>
        </w:tc>
        <w:tc>
          <w:tcPr>
            <w:tcW w:type="dxa" w:w="978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Múltiplo</w:t>
            </w:r>
          </w:p>
        </w:tc>
        <w:tc>
          <w:tcPr>
            <w:tcW w:type="dxa" w:w="1369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Gordon (RONIC)</w:t>
            </w:r>
          </w:p>
        </w:tc>
        <w:tc>
          <w:tcPr>
            <w:tcW w:type="dxa" w:w="2933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Rendimiento esperado, múltiplo</w:t>
            </w:r>
          </w:p>
        </w:tc>
      </w:tr>
      <w:tr>
        <w:trPr>
          <w:cantSplit w:val="true"/>
        </w:trPr>
        <w:tc>
          <w:tcPr>
            <w:tcW w:type="dxa" w:w="469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Base (w = 0.5; 5.92x; minoritarios a mercado; impuesto 32%)</w:t>
            </w:r>
          </w:p>
        </w:tc>
        <w:tc>
          <w:tcPr>
            <w:tcW w:type="dxa" w:w="97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46.42</w:t>
            </w:r>
          </w:p>
        </w:tc>
        <w:tc>
          <w:tcPr>
            <w:tcW w:type="dxa" w:w="136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30.76</w:t>
            </w:r>
          </w:p>
        </w:tc>
        <w:tc>
          <w:tcPr>
            <w:tcW w:type="dxa" w:w="293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−10.5%</w:t>
            </w:r>
          </w:p>
        </w:tc>
      </w:tr>
      <w:tr>
        <w:trPr>
          <w:cantSplit w:val="true"/>
        </w:trPr>
        <w:tc>
          <w:tcPr>
            <w:tcW w:type="dxa" w:w="4693"/>
          </w:tcPr>
          <w:p>
            <w:pPr>
              <w:keepNext/>
              <w:spacing w:after="0"/>
            </w:pPr>
            <w:r/>
            <w:r>
              <w:rPr>
                <w:b/>
                <w:sz w:val="17"/>
              </w:rPr>
              <w:t>Configuración recomendada: impuesto sobre EBIT 34%</w:t>
            </w:r>
          </w:p>
        </w:tc>
        <w:tc>
          <w:tcPr>
            <w:tcW w:type="dxa" w:w="978"/>
          </w:tcPr>
          <w:p>
            <w:pPr>
              <w:keepNext/>
              <w:spacing w:after="0"/>
            </w:pPr>
            <w:r/>
            <w:r>
              <w:rPr>
                <w:b/>
                <w:sz w:val="17"/>
              </w:rPr>
              <w:t>45.69</w:t>
            </w:r>
          </w:p>
        </w:tc>
        <w:tc>
          <w:tcPr>
            <w:tcW w:type="dxa" w:w="1369"/>
          </w:tcPr>
          <w:p>
            <w:pPr>
              <w:keepNext/>
              <w:spacing w:after="0"/>
            </w:pPr>
            <w:r/>
            <w:r>
              <w:rPr>
                <w:b/>
                <w:sz w:val="17"/>
              </w:rPr>
              <w:t>28.31</w:t>
            </w:r>
          </w:p>
        </w:tc>
        <w:tc>
          <w:tcPr>
            <w:tcW w:type="dxa" w:w="2933"/>
          </w:tcPr>
          <w:p>
            <w:pPr>
              <w:keepNext/>
              <w:spacing w:after="0"/>
            </w:pPr>
            <w:r/>
            <w:r>
              <w:rPr>
                <w:b/>
                <w:sz w:val="17"/>
              </w:rPr>
              <w:t>−11.9%</w:t>
            </w:r>
          </w:p>
        </w:tc>
      </w:tr>
      <w:tr>
        <w:trPr>
          <w:cantSplit w:val="true"/>
        </w:trPr>
        <w:tc>
          <w:tcPr>
            <w:tcW w:type="dxa" w:w="469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Impuesto sobre EBIT 30%</w:t>
            </w:r>
          </w:p>
        </w:tc>
        <w:tc>
          <w:tcPr>
            <w:tcW w:type="dxa" w:w="97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47.15</w:t>
            </w:r>
          </w:p>
        </w:tc>
        <w:tc>
          <w:tcPr>
            <w:tcW w:type="dxa" w:w="136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33.21</w:t>
            </w:r>
          </w:p>
        </w:tc>
        <w:tc>
          <w:tcPr>
            <w:tcW w:type="dxa" w:w="293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−9.1%</w:t>
            </w:r>
          </w:p>
        </w:tc>
      </w:tr>
      <w:tr>
        <w:trPr>
          <w:cantSplit w:val="true"/>
        </w:trPr>
        <w:tc>
          <w:tcPr>
            <w:tcW w:type="dxa" w:w="469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Un tercio por modelo (w = 0.6667)</w:t>
            </w:r>
          </w:p>
        </w:tc>
        <w:tc>
          <w:tcPr>
            <w:tcW w:type="dxa" w:w="97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46.66</w:t>
            </w:r>
          </w:p>
        </w:tc>
        <w:tc>
          <w:tcPr>
            <w:tcW w:type="dxa" w:w="136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30.63</w:t>
            </w:r>
          </w:p>
        </w:tc>
        <w:tc>
          <w:tcPr>
            <w:tcW w:type="dxa" w:w="293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−10.0% (justo en el piso)</w:t>
            </w:r>
          </w:p>
        </w:tc>
      </w:tr>
      <w:tr>
        <w:trPr>
          <w:cantSplit w:val="true"/>
        </w:trPr>
        <w:tc>
          <w:tcPr>
            <w:tcW w:type="dxa" w:w="469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Promedio sin ajustar del múltiplo, 6.2x</w:t>
            </w:r>
          </w:p>
        </w:tc>
        <w:tc>
          <w:tcPr>
            <w:tcW w:type="dxa" w:w="97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49.75</w:t>
            </w:r>
          </w:p>
        </w:tc>
        <w:tc>
          <w:tcPr>
            <w:tcW w:type="dxa" w:w="136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30.76</w:t>
            </w:r>
          </w:p>
        </w:tc>
        <w:tc>
          <w:tcPr>
            <w:tcW w:type="dxa" w:w="293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−4.0%</w:t>
            </w:r>
          </w:p>
        </w:tc>
      </w:tr>
      <w:tr>
        <w:trPr>
          <w:cantSplit w:val="true"/>
        </w:trPr>
        <w:tc>
          <w:tcPr>
            <w:tcW w:type="dxa" w:w="469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Minoritarios en libros</w:t>
            </w:r>
          </w:p>
        </w:tc>
        <w:tc>
          <w:tcPr>
            <w:tcW w:type="dxa" w:w="97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50.61</w:t>
            </w:r>
          </w:p>
        </w:tc>
        <w:tc>
          <w:tcPr>
            <w:tcW w:type="dxa" w:w="136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34.94</w:t>
            </w:r>
          </w:p>
        </w:tc>
        <w:tc>
          <w:tcPr>
            <w:tcW w:type="dxa" w:w="293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−2.4%</w:t>
            </w:r>
          </w:p>
        </w:tc>
      </w:tr>
      <w:tr>
        <w:trPr>
          <w:cantSplit w:val="true"/>
        </w:trPr>
        <w:tc>
          <w:tcPr>
            <w:tcW w:type="dxa" w:w="469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Solo el juego de la v3, misma mecánica (= Alejandro)</w:t>
            </w:r>
          </w:p>
        </w:tc>
        <w:tc>
          <w:tcPr>
            <w:tcW w:type="dxa" w:w="97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47.13</w:t>
            </w:r>
          </w:p>
        </w:tc>
        <w:tc>
          <w:tcPr>
            <w:tcW w:type="dxa" w:w="136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30.36</w:t>
            </w:r>
          </w:p>
        </w:tc>
        <w:tc>
          <w:tcPr>
            <w:tcW w:type="dxa" w:w="293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−9.2%</w:t>
            </w:r>
          </w:p>
        </w:tc>
      </w:tr>
      <w:tr>
        <w:trPr>
          <w:cantSplit w:val="true"/>
        </w:trPr>
        <w:tc>
          <w:tcPr>
            <w:tcW w:type="dxa" w:w="469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Juego de Diego conciliado (5.83x)</w:t>
            </w:r>
          </w:p>
        </w:tc>
        <w:tc>
          <w:tcPr>
            <w:tcW w:type="dxa" w:w="978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45.71</w:t>
            </w:r>
          </w:p>
        </w:tc>
        <w:tc>
          <w:tcPr>
            <w:tcW w:type="dxa" w:w="136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31.09</w:t>
            </w:r>
          </w:p>
        </w:tc>
        <w:tc>
          <w:tcPr>
            <w:tcW w:type="dxa" w:w="293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−11.8%</w:t>
            </w:r>
          </w:p>
        </w:tc>
      </w:tr>
      <w:tr>
        <w:trPr>
          <w:cantSplit w:val="true"/>
        </w:trPr>
        <w:tc>
          <w:tcPr>
            <w:tcW w:type="dxa" w:w="4693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Juego de Diego conciliado, con su 6.4x</w:t>
            </w:r>
          </w:p>
        </w:tc>
        <w:tc>
          <w:tcPr>
            <w:tcW w:type="dxa" w:w="978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52.29</w:t>
            </w:r>
          </w:p>
        </w:tc>
        <w:tc>
          <w:tcPr>
            <w:tcW w:type="dxa" w:w="136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31.09</w:t>
            </w:r>
          </w:p>
        </w:tc>
        <w:tc>
          <w:tcPr>
            <w:tcW w:type="dxa" w:w="2933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+0.9%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Promediar resultados contra promediar supuestos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true"/>
          <w:tblHeader w:val="true"/>
        </w:trPr>
        <w:tc>
          <w:tcPr>
            <w:tcW w:type="dxa" w:w="4516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Enfoque</w:t>
            </w:r>
          </w:p>
        </w:tc>
        <w:tc>
          <w:tcPr>
            <w:tcW w:type="dxa" w:w="941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4516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Por qué difiere</w:t>
            </w:r>
          </w:p>
        </w:tc>
      </w:tr>
      <w:tr>
        <w:trPr>
          <w:cantSplit w:val="true"/>
        </w:trPr>
        <w:tc>
          <w:tcPr>
            <w:tcW w:type="dxa" w:w="4516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Promedio simple de los tres valores publicados por múltiplo (45.72, 47.13, 54.94)</w:t>
            </w:r>
          </w:p>
        </w:tc>
        <w:tc>
          <w:tcPr>
            <w:tcW w:type="dxa" w:w="941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49.26</w:t>
            </w:r>
          </w:p>
        </w:tc>
        <w:tc>
          <w:tcPr>
            <w:tcW w:type="dxa" w:w="4516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Le da dos votos a la v3 y arrastra los problemas de datos de Diego</w:t>
            </w:r>
          </w:p>
        </w:tc>
      </w:tr>
      <w:tr>
        <w:trPr>
          <w:cantSplit w:val="true"/>
        </w:trPr>
        <w:tc>
          <w:tcPr>
            <w:tcW w:type="dxa" w:w="4516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Promedio de Alejandro y Diego tal como se publicaron</w:t>
            </w:r>
          </w:p>
        </w:tc>
        <w:tc>
          <w:tcPr>
            <w:tcW w:type="dxa" w:w="941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51.04</w:t>
            </w:r>
          </w:p>
        </w:tc>
        <w:tc>
          <w:tcPr>
            <w:tcW w:type="dxa" w:w="4516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Arrastra los problemas de datos</w:t>
            </w:r>
          </w:p>
        </w:tc>
      </w:tr>
      <w:tr>
        <w:trPr>
          <w:cantSplit w:val="true"/>
        </w:trPr>
        <w:tc>
          <w:tcPr>
            <w:tcW w:type="dxa" w:w="4516"/>
          </w:tcPr>
          <w:p>
            <w:pPr>
              <w:keepNext w:val="0"/>
              <w:spacing w:after="0"/>
            </w:pPr>
            <w:r/>
            <w:r>
              <w:rPr>
                <w:b/>
                <w:sz w:val="17"/>
              </w:rPr>
              <w:t>Juicios promediados con datos conciliados (este modelo)</w:t>
            </w:r>
          </w:p>
        </w:tc>
        <w:tc>
          <w:tcPr>
            <w:tcW w:type="dxa" w:w="941"/>
          </w:tcPr>
          <w:p>
            <w:pPr>
              <w:keepNext w:val="0"/>
              <w:spacing w:after="0"/>
            </w:pPr>
            <w:r/>
            <w:r>
              <w:rPr>
                <w:b/>
                <w:sz w:val="17"/>
              </w:rPr>
              <w:t>46.42</w:t>
            </w:r>
          </w:p>
        </w:tc>
        <w:tc>
          <w:tcPr>
            <w:tcW w:type="dxa" w:w="4516"/>
          </w:tcPr>
          <w:p>
            <w:pPr>
              <w:keepNext w:val="0"/>
              <w:spacing w:after="0"/>
            </w:pPr>
            <w:r/>
          </w:p>
        </w:tc>
      </w:tr>
    </w:tbl>
    <w:p>
      <w:pPr>
        <w:spacing w:after="40"/>
      </w:pPr>
    </w:p>
    <w:p>
      <w:r>
        <w:rPr/>
        <w:t>Los resultados publicados cargan las diferencias de puente y de datos de la sección 3. Promediarlos mezcla errores con juicios.</w:t>
      </w:r>
    </w:p>
    <w:p>
      <w:r>
        <w:rPr>
          <w:b/>
        </w:rPr>
        <w:t>Por qué los dos métodos del DCF difieren 34%.</w:t>
      </w:r>
    </w:p>
    <w:p>
      <w:pPr>
        <w:pStyle w:val="ListBullet"/>
      </w:pPr>
      <w:r>
        <w:rPr/>
        <w:t>El múltiplo de 5.92x se comporta como el Gordon al estilo de la plantilla, cuyo múltiplo implícito es 5.88x.</w:t>
      </w:r>
    </w:p>
    <w:p>
      <w:pPr>
        <w:pStyle w:val="ListBullet"/>
      </w:pPr>
      <w:r>
        <w:rPr/>
        <w:t>Ese Gordon deja crecer el flujo a g casi sin reinversión adicional, lo que exige un rendimiento de 27.7% sobre el capital nuevo.</w:t>
      </w:r>
    </w:p>
    <w:p>
      <w:pPr>
        <w:pStyle w:val="ListBullet"/>
      </w:pPr>
      <w:r>
        <w:rPr/>
        <w:t xml:space="preserve">Con el 14.6% de la v3, el múltiplo terminal justificado sería 4.96x </w:t>
      </w:r>
      <w:r>
        <w:rPr>
          <w:rFonts w:ascii="Consolas" w:hAnsi="Consolas"/>
          <w:color w:val="7F3F00"/>
          <w:sz w:val="18"/>
        </w:rPr>
        <w:t>[calc]</w:t>
      </w:r>
      <w:r>
        <w:rPr/>
        <w:t>.</w:t>
      </w:r>
    </w:p>
    <w:p>
      <w:r>
        <w:rPr/>
        <w:t>Los jueces van a preguntar por esta brecha; la guía señala las diferencias mayores a 20%. La respuesta del equipo es su visión del rendimiento de largo plazo de Bimbo sobre el capital nuevo.</w:t>
      </w:r>
    </w:p>
    <w:p>
      <w:r>
        <w:rPr>
          <w:b/>
        </w:rPr>
        <w:t>Horizonte.</w:t>
      </w:r>
      <w:r>
        <w:rPr/>
        <w:t xml:space="preserve"> El Gordon de la v3 a diez años (33.55) queda arriba del Gordon a cinco años con los mismos supuestos de la v3 y RONIC consistente (30.36). La versión a cinco años aplica la reinversión terminal desde 2031, mientras que la v3 sube el capex por etapas hasta 6.0% en 2035.</w:t>
      </w:r>
    </w:p>
    <w:p>
      <w:pPr>
        <w:pStyle w:val="Heading1"/>
      </w:pPr>
      <w:r>
        <w:rPr/>
        <w:t>7. Sensibilidad (viva en el libro de Excel)</w:t>
      </w:r>
    </w:p>
    <w:p>
      <w:pPr>
        <w:keepNext/>
      </w:pPr>
      <w:r>
        <w:rPr/>
        <w:t>Múltiplo de salida: WACC (filas) × VE/EBITDA de salida (columnas).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 w:val="true"/>
          <w:tblHeader w:val="true"/>
        </w:trPr>
        <w:tc>
          <w:tcPr>
            <w:tcW w:type="dxa" w:w="2301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WACC \ múltiplo</w:t>
            </w:r>
          </w:p>
        </w:tc>
        <w:tc>
          <w:tcPr>
            <w:tcW w:type="dxa" w:w="1534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5.0x</w:t>
            </w:r>
          </w:p>
        </w:tc>
        <w:tc>
          <w:tcPr>
            <w:tcW w:type="dxa" w:w="1534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5.5x</w:t>
            </w:r>
          </w:p>
        </w:tc>
        <w:tc>
          <w:tcPr>
            <w:tcW w:type="dxa" w:w="1534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5.92x</w:t>
            </w:r>
          </w:p>
        </w:tc>
        <w:tc>
          <w:tcPr>
            <w:tcW w:type="dxa" w:w="1534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6.5x</w:t>
            </w:r>
          </w:p>
        </w:tc>
        <w:tc>
          <w:tcPr>
            <w:tcW w:type="dxa" w:w="1534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7.0x</w:t>
            </w:r>
          </w:p>
        </w:tc>
      </w:tr>
      <w:tr>
        <w:trPr>
          <w:cantSplit w:val="true"/>
        </w:trPr>
        <w:tc>
          <w:tcPr>
            <w:tcW w:type="dxa" w:w="2301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9.38%</w:t>
            </w:r>
          </w:p>
        </w:tc>
        <w:tc>
          <w:tcPr>
            <w:tcW w:type="dxa" w:w="153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38.49</w:t>
            </w:r>
          </w:p>
        </w:tc>
        <w:tc>
          <w:tcPr>
            <w:tcW w:type="dxa" w:w="153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44.64</w:t>
            </w:r>
          </w:p>
        </w:tc>
        <w:tc>
          <w:tcPr>
            <w:tcW w:type="dxa" w:w="153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49.77</w:t>
            </w:r>
          </w:p>
        </w:tc>
        <w:tc>
          <w:tcPr>
            <w:tcW w:type="dxa" w:w="153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56.93</w:t>
            </w:r>
          </w:p>
        </w:tc>
        <w:tc>
          <w:tcPr>
            <w:tcW w:type="dxa" w:w="153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63.08</w:t>
            </w:r>
          </w:p>
        </w:tc>
      </w:tr>
      <w:tr>
        <w:trPr>
          <w:cantSplit w:val="true"/>
        </w:trPr>
        <w:tc>
          <w:tcPr>
            <w:tcW w:type="dxa" w:w="2301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9.88%</w:t>
            </w:r>
          </w:p>
        </w:tc>
        <w:tc>
          <w:tcPr>
            <w:tcW w:type="dxa" w:w="153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37.03</w:t>
            </w:r>
          </w:p>
        </w:tc>
        <w:tc>
          <w:tcPr>
            <w:tcW w:type="dxa" w:w="153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43.05</w:t>
            </w:r>
          </w:p>
        </w:tc>
        <w:tc>
          <w:tcPr>
            <w:tcW w:type="dxa" w:w="153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48.07</w:t>
            </w:r>
          </w:p>
        </w:tc>
        <w:tc>
          <w:tcPr>
            <w:tcW w:type="dxa" w:w="153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55.09</w:t>
            </w:r>
          </w:p>
        </w:tc>
        <w:tc>
          <w:tcPr>
            <w:tcW w:type="dxa" w:w="153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61.11</w:t>
            </w:r>
          </w:p>
        </w:tc>
      </w:tr>
      <w:tr>
        <w:trPr>
          <w:cantSplit w:val="true"/>
        </w:trPr>
        <w:tc>
          <w:tcPr>
            <w:tcW w:type="dxa" w:w="2301"/>
          </w:tcPr>
          <w:p>
            <w:pPr>
              <w:keepNext/>
              <w:spacing w:after="0"/>
            </w:pPr>
            <w:r/>
            <w:r>
              <w:rPr>
                <w:b/>
                <w:sz w:val="17"/>
              </w:rPr>
              <w:t>10.38%</w:t>
            </w:r>
          </w:p>
        </w:tc>
        <w:tc>
          <w:tcPr>
            <w:tcW w:type="dxa" w:w="153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35.59</w:t>
            </w:r>
          </w:p>
        </w:tc>
        <w:tc>
          <w:tcPr>
            <w:tcW w:type="dxa" w:w="153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41.49</w:t>
            </w:r>
          </w:p>
        </w:tc>
        <w:tc>
          <w:tcPr>
            <w:tcW w:type="dxa" w:w="1534"/>
          </w:tcPr>
          <w:p>
            <w:pPr>
              <w:keepNext/>
              <w:spacing w:after="0"/>
            </w:pPr>
            <w:r/>
            <w:r>
              <w:rPr>
                <w:b/>
                <w:sz w:val="17"/>
              </w:rPr>
              <w:t>46.42</w:t>
            </w:r>
          </w:p>
        </w:tc>
        <w:tc>
          <w:tcPr>
            <w:tcW w:type="dxa" w:w="153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53.29</w:t>
            </w:r>
          </w:p>
        </w:tc>
        <w:tc>
          <w:tcPr>
            <w:tcW w:type="dxa" w:w="153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59.19</w:t>
            </w:r>
          </w:p>
        </w:tc>
      </w:tr>
      <w:tr>
        <w:trPr>
          <w:cantSplit w:val="true"/>
        </w:trPr>
        <w:tc>
          <w:tcPr>
            <w:tcW w:type="dxa" w:w="2301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10.88%</w:t>
            </w:r>
          </w:p>
        </w:tc>
        <w:tc>
          <w:tcPr>
            <w:tcW w:type="dxa" w:w="153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34.20</w:t>
            </w:r>
          </w:p>
        </w:tc>
        <w:tc>
          <w:tcPr>
            <w:tcW w:type="dxa" w:w="153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39.98</w:t>
            </w:r>
          </w:p>
        </w:tc>
        <w:tc>
          <w:tcPr>
            <w:tcW w:type="dxa" w:w="153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44.80</w:t>
            </w:r>
          </w:p>
        </w:tc>
        <w:tc>
          <w:tcPr>
            <w:tcW w:type="dxa" w:w="153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51.54</w:t>
            </w:r>
          </w:p>
        </w:tc>
        <w:tc>
          <w:tcPr>
            <w:tcW w:type="dxa" w:w="1534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57.32</w:t>
            </w:r>
          </w:p>
        </w:tc>
      </w:tr>
      <w:tr>
        <w:trPr>
          <w:cantSplit w:val="true"/>
        </w:trPr>
        <w:tc>
          <w:tcPr>
            <w:tcW w:type="dxa" w:w="2301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11.38%</w:t>
            </w:r>
          </w:p>
        </w:tc>
        <w:tc>
          <w:tcPr>
            <w:tcW w:type="dxa" w:w="1534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32.83</w:t>
            </w:r>
          </w:p>
        </w:tc>
        <w:tc>
          <w:tcPr>
            <w:tcW w:type="dxa" w:w="1534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38.49</w:t>
            </w:r>
          </w:p>
        </w:tc>
        <w:tc>
          <w:tcPr>
            <w:tcW w:type="dxa" w:w="1534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43.22</w:t>
            </w:r>
          </w:p>
        </w:tc>
        <w:tc>
          <w:tcPr>
            <w:tcW w:type="dxa" w:w="1534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49.82</w:t>
            </w:r>
          </w:p>
        </w:tc>
        <w:tc>
          <w:tcPr>
            <w:tcW w:type="dxa" w:w="1534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55.49</w:t>
            </w:r>
          </w:p>
        </w:tc>
      </w:tr>
    </w:tbl>
    <w:p>
      <w:pPr>
        <w:spacing w:after="40"/>
      </w:pPr>
    </w:p>
    <w:p>
      <w:pPr>
        <w:keepNext/>
      </w:pPr>
      <w:r>
        <w:rPr/>
        <w:t>Gordon con RONIC de 14.6%: WACC (filas) × g (columnas).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 w:val="true"/>
          <w:tblHeader w:val="true"/>
        </w:trPr>
        <w:tc>
          <w:tcPr>
            <w:tcW w:type="dxa" w:w="1662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WACC \ g</w:t>
            </w:r>
          </w:p>
        </w:tc>
        <w:tc>
          <w:tcPr>
            <w:tcW w:type="dxa" w:w="1662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3.125%</w:t>
            </w:r>
          </w:p>
        </w:tc>
        <w:tc>
          <w:tcPr>
            <w:tcW w:type="dxa" w:w="1662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3.625%</w:t>
            </w:r>
          </w:p>
        </w:tc>
        <w:tc>
          <w:tcPr>
            <w:tcW w:type="dxa" w:w="1662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4.125%</w:t>
            </w:r>
          </w:p>
        </w:tc>
        <w:tc>
          <w:tcPr>
            <w:tcW w:type="dxa" w:w="1662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4.625%</w:t>
            </w:r>
          </w:p>
        </w:tc>
        <w:tc>
          <w:tcPr>
            <w:tcW w:type="dxa" w:w="1662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5.125%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9.38%</w:t>
            </w:r>
          </w:p>
        </w:tc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38.81</w:t>
            </w:r>
          </w:p>
        </w:tc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41.76</w:t>
            </w:r>
          </w:p>
        </w:tc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45.25</w:t>
            </w:r>
          </w:p>
        </w:tc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49.43</w:t>
            </w:r>
          </w:p>
        </w:tc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54.55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9.88%</w:t>
            </w:r>
          </w:p>
        </w:tc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32.45</w:t>
            </w:r>
          </w:p>
        </w:tc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34.73</w:t>
            </w:r>
          </w:p>
        </w:tc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37.37</w:t>
            </w:r>
          </w:p>
        </w:tc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40.49</w:t>
            </w:r>
          </w:p>
        </w:tc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44.23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b/>
                <w:sz w:val="17"/>
              </w:rPr>
              <w:t>10.38%</w:t>
            </w:r>
          </w:p>
        </w:tc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26.96</w:t>
            </w:r>
          </w:p>
        </w:tc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28.73</w:t>
            </w:r>
          </w:p>
        </w:tc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b/>
                <w:sz w:val="17"/>
              </w:rPr>
              <w:t>30.76</w:t>
            </w:r>
          </w:p>
        </w:tc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33.10</w:t>
            </w:r>
          </w:p>
        </w:tc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35.86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10.88%</w:t>
            </w:r>
          </w:p>
        </w:tc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22.19</w:t>
            </w:r>
          </w:p>
        </w:tc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23.57</w:t>
            </w:r>
          </w:p>
        </w:tc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25.12</w:t>
            </w:r>
          </w:p>
        </w:tc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26.90</w:t>
            </w:r>
          </w:p>
        </w:tc>
        <w:tc>
          <w:tcPr>
            <w:tcW w:type="dxa" w:w="1662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28.95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11.38%</w:t>
            </w:r>
          </w:p>
        </w:tc>
        <w:tc>
          <w:tcPr>
            <w:tcW w:type="dxa" w:w="166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18.00</w:t>
            </w:r>
          </w:p>
        </w:tc>
        <w:tc>
          <w:tcPr>
            <w:tcW w:type="dxa" w:w="166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19.07</w:t>
            </w:r>
          </w:p>
        </w:tc>
        <w:tc>
          <w:tcPr>
            <w:tcW w:type="dxa" w:w="166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20.26</w:t>
            </w:r>
          </w:p>
        </w:tc>
        <w:tc>
          <w:tcPr>
            <w:tcW w:type="dxa" w:w="166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21.61</w:t>
            </w:r>
          </w:p>
        </w:tc>
        <w:tc>
          <w:tcPr>
            <w:tcW w:type="dxa" w:w="1662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23.14</w:t>
            </w:r>
          </w:p>
        </w:tc>
      </w:tr>
    </w:tbl>
    <w:p>
      <w:pPr>
        <w:spacing w:after="40"/>
      </w:pPr>
    </w:p>
    <w:p>
      <w:r>
        <w:rPr/>
        <w:t>El derecho de los minoritarios y el factor para llevar el valor al 16-oct se mantienen con el ke base.</w:t>
      </w:r>
    </w:p>
    <w:p>
      <w:pPr>
        <w:pStyle w:val="Heading1"/>
      </w:pPr>
      <w:r>
        <w:rPr/>
        <w:t>8. DCF inverso y comparables</w:t>
      </w:r>
    </w:p>
    <w:p>
      <w:r>
        <w:rPr>
          <w:b/>
        </w:rPr>
        <w:t>Qué necesita el precio</w:t>
      </w:r>
      <w:r>
        <w:rPr/>
        <w:t xml:space="preserve"> (múltiplo de salida, una palanca a la vez) </w:t>
      </w:r>
      <w:r>
        <w:rPr>
          <w:rFonts w:ascii="Consolas" w:hAnsi="Consolas"/>
          <w:color w:val="7F3F00"/>
          <w:sz w:val="18"/>
        </w:rPr>
        <w:t>[calc]</w:t>
      </w:r>
      <w:r>
        <w:rPr/>
        <w:t>, cualquiera de estas tres:</w:t>
      </w:r>
    </w:p>
    <w:p>
      <w:pPr>
        <w:pStyle w:val="ListBullet"/>
      </w:pPr>
      <w:r>
        <w:rPr/>
        <w:t xml:space="preserve">un múltiplo de salida de </w:t>
      </w:r>
      <w:r>
        <w:rPr>
          <w:b/>
        </w:rPr>
        <w:t>6.95x</w:t>
      </w:r>
      <w:r>
        <w:rPr/>
        <w:t xml:space="preserve"> (Bimbo cotiza a 6.94x UDM con minoritarios en libros y a 7.12x con minoritarios a mercado);</w:t>
      </w:r>
    </w:p>
    <w:p>
      <w:pPr>
        <w:pStyle w:val="ListBullet"/>
      </w:pPr>
      <w:r>
        <w:rPr/>
        <w:t>un WACC de 6.96%;</w:t>
      </w:r>
    </w:p>
    <w:p>
      <w:pPr>
        <w:pStyle w:val="ListBullet"/>
      </w:pPr>
      <w:r>
        <w:rPr/>
        <w:t>un crecimiento de ventas 3.10 pp mayor cada año de la proyección.</w:t>
      </w:r>
    </w:p>
    <w:p>
      <w:pPr>
        <w:keepNext/>
      </w:pPr>
      <w:r>
        <w:rPr>
          <w:b/>
        </w:rPr>
        <w:t>Comparables.</w:t>
      </w:r>
      <w:r>
        <w:rPr/>
        <w:t xml:space="preserve"> Valores con el mismo puente de comparables de la v3: EBITDA UDM 60,919; deuda neta con arrendamientos; minoritarios a mercado; asociadas.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true"/>
          <w:tblHeader w:val="true"/>
        </w:trPr>
        <w:tc>
          <w:tcPr>
            <w:tcW w:type="dxa" w:w="7479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Múltiplo</w:t>
            </w:r>
          </w:p>
        </w:tc>
        <w:tc>
          <w:tcPr>
            <w:tcW w:type="dxa" w:w="2493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Valor por acción</w:t>
            </w:r>
          </w:p>
        </w:tc>
      </w:tr>
      <w:tr>
        <w:trPr>
          <w:cantSplit w:val="true"/>
        </w:trPr>
        <w:tc>
          <w:tcPr>
            <w:tcW w:type="dxa" w:w="747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Mediana de panificadoras núcleo, tabla v3 (Flowers, Gruma): 5.53x</w:t>
            </w:r>
          </w:p>
        </w:tc>
        <w:tc>
          <w:tcPr>
            <w:tcW w:type="dxa" w:w="249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35.95</w:t>
            </w:r>
          </w:p>
        </w:tc>
      </w:tr>
      <w:tr>
        <w:trPr>
          <w:cantSplit w:val="true"/>
        </w:trPr>
        <w:tc>
          <w:tcPr>
            <w:tcW w:type="dxa" w:w="747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Los cuatro núcleo de Diego en la tabla consistente: 5.83x</w:t>
            </w:r>
          </w:p>
        </w:tc>
        <w:tc>
          <w:tcPr>
            <w:tcW w:type="dxa" w:w="249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40.33</w:t>
            </w:r>
          </w:p>
        </w:tc>
      </w:tr>
      <w:tr>
        <w:trPr>
          <w:cantSplit w:val="true"/>
        </w:trPr>
        <w:tc>
          <w:tcPr>
            <w:tcW w:type="dxa" w:w="747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6.0x (juicio de salida de la v3)</w:t>
            </w:r>
          </w:p>
        </w:tc>
        <w:tc>
          <w:tcPr>
            <w:tcW w:type="dxa" w:w="249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42.68</w:t>
            </w:r>
          </w:p>
        </w:tc>
      </w:tr>
      <w:tr>
        <w:trPr>
          <w:cantSplit w:val="true"/>
        </w:trPr>
        <w:tc>
          <w:tcPr>
            <w:tcW w:type="dxa" w:w="747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Los cuatro núcleo de Diego como él los calculó: 6.37x</w:t>
            </w:r>
          </w:p>
        </w:tc>
        <w:tc>
          <w:tcPr>
            <w:tcW w:type="dxa" w:w="249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47.93</w:t>
            </w:r>
          </w:p>
        </w:tc>
      </w:tr>
      <w:tr>
        <w:trPr>
          <w:cantSplit w:val="true"/>
        </w:trPr>
        <w:tc>
          <w:tcPr>
            <w:tcW w:type="dxa" w:w="747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Los nueve comparables, tabla de Diego: 8.20x</w:t>
            </w:r>
          </w:p>
        </w:tc>
        <w:tc>
          <w:tcPr>
            <w:tcW w:type="dxa" w:w="249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73.92</w:t>
            </w:r>
          </w:p>
        </w:tc>
      </w:tr>
      <w:tr>
        <w:trPr>
          <w:cantSplit w:val="true"/>
        </w:trPr>
        <w:tc>
          <w:tcPr>
            <w:tcW w:type="dxa" w:w="747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Todos los comparables elegibles, tabla v3: 8.27x</w:t>
            </w:r>
          </w:p>
        </w:tc>
        <w:tc>
          <w:tcPr>
            <w:tcW w:type="dxa" w:w="2493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74.87</w:t>
            </w:r>
          </w:p>
        </w:tc>
      </w:tr>
    </w:tbl>
    <w:p>
      <w:pPr>
        <w:spacing w:after="40"/>
      </w:pPr>
    </w:p>
    <w:p>
      <w:r>
        <w:rPr/>
        <w:t>Los comparables secundarios (Mondelez, PepsiCo, Smucker, Campbell's) tienen márgenes EBITDA de 16-25% contra 14.5% de Bimbo. Los dos compañeros toman su mediana como techo, no como base.</w:t>
      </w:r>
    </w:p>
    <w:p>
      <w:pPr>
        <w:pStyle w:val="Heading1"/>
      </w:pPr>
      <w:r>
        <w:rPr/>
        <w:t>9. Riesgos y ESG traducidos a valor</w:t>
      </w:r>
    </w:p>
    <w:p>
      <w:pPr>
        <w:keepNext/>
      </w:pPr>
      <w:r>
        <w:rPr/>
        <w:t>Fuente: Reporte General ESG v2 de Diego (</w:t>
      </w:r>
      <w:r>
        <w:rPr>
          <w:rFonts w:ascii="Consolas" w:hAnsi="Consolas"/>
          <w:color w:val="7F3F00"/>
          <w:sz w:val="18"/>
        </w:rPr>
        <w:t>valuation/team-models/BIMBOA_ESG_Report_EN_Diego.pdf</w:t>
      </w:r>
      <w:r>
        <w:rPr/>
        <w:t xml:space="preserve">). Sus cifras marcadas </w:t>
      </w:r>
      <w:r>
        <w:rPr>
          <w:rFonts w:ascii="Consolas" w:hAnsi="Consolas"/>
          <w:color w:val="7F3F00"/>
          <w:sz w:val="18"/>
        </w:rPr>
        <w:t>[unverified]</w:t>
      </w:r>
      <w:r>
        <w:rPr/>
        <w:t xml:space="preserve"> no se usan como evidencia.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  <w:tblHeader w:val="true"/>
        </w:trPr>
        <w:tc>
          <w:tcPr>
            <w:tcW w:type="dxa" w:w="3989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Palanca (un cambio contra la base)</w:t>
            </w:r>
          </w:p>
        </w:tc>
        <w:tc>
          <w:tcPr>
            <w:tcW w:type="dxa" w:w="3989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Tema ESG o de riesgo y evidencia</w:t>
            </w:r>
          </w:p>
        </w:tc>
        <w:tc>
          <w:tcPr>
            <w:tcW w:type="dxa" w:w="831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Múltiplo</w:t>
            </w:r>
          </w:p>
        </w:tc>
        <w:tc>
          <w:tcPr>
            <w:tcW w:type="dxa" w:w="1163"/>
            <w:shd w:val="clear" w:color="auto" w:fill="1F3864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Gordon (RONIC)</w:t>
            </w:r>
          </w:p>
        </w:tc>
      </w:tr>
      <w:tr>
        <w:trPr>
          <w:cantSplit w:val="true"/>
        </w:trPr>
        <w:tc>
          <w:tcPr>
            <w:tcW w:type="dxa" w:w="398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Margen EBITDA −50 pb cada año</w:t>
            </w:r>
          </w:p>
        </w:tc>
        <w:tc>
          <w:tcPr>
            <w:tcW w:type="dxa" w:w="398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 xml:space="preserve">Trigo y clima. Las materias primas son ~64% del costo de ventas </w:t>
            </w:r>
            <w:r>
              <w:rPr>
                <w:rFonts w:ascii="Consolas" w:hAnsi="Consolas"/>
                <w:color w:val="7F3F00"/>
                <w:sz w:val="15"/>
              </w:rPr>
              <w:t>[sourced/calc]</w:t>
            </w:r>
            <w:r>
              <w:rPr>
                <w:sz w:val="17"/>
              </w:rPr>
              <w:t xml:space="preserve">. El director de finanzas atribuyó 60 pb del margen EBITDA de 2022 al ciclo del trigo </w:t>
            </w:r>
            <w:r>
              <w:rPr>
                <w:rFonts w:ascii="Consolas" w:hAnsi="Consolas"/>
                <w:color w:val="7F3F00"/>
                <w:sz w:val="15"/>
              </w:rPr>
              <w:t>[guidance]</w:t>
            </w:r>
            <w:r>
              <w:rPr>
                <w:sz w:val="17"/>
              </w:rPr>
              <w:t xml:space="preserve">. El alza del trigo en 2026 (+17%) es </w:t>
            </w:r>
            <w:r>
              <w:rPr>
                <w:rFonts w:ascii="Consolas" w:hAnsi="Consolas"/>
                <w:color w:val="7F3F00"/>
                <w:sz w:val="15"/>
              </w:rPr>
              <w:t>[unverified]</w:t>
            </w:r>
          </w:p>
        </w:tc>
        <w:tc>
          <w:tcPr>
            <w:tcW w:type="dxa" w:w="831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−3.72</w:t>
            </w:r>
          </w:p>
        </w:tc>
        <w:tc>
          <w:tcPr>
            <w:tcW w:type="dxa" w:w="116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−4.59</w:t>
            </w:r>
          </w:p>
        </w:tc>
      </w:tr>
      <w:tr>
        <w:trPr>
          <w:cantSplit w:val="true"/>
        </w:trPr>
        <w:tc>
          <w:tcPr>
            <w:tcW w:type="dxa" w:w="398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Capex +50 pb de las ventas cada año</w:t>
            </w:r>
          </w:p>
        </w:tc>
        <w:tc>
          <w:tcPr>
            <w:tcW w:type="dxa" w:w="398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 xml:space="preserve">Agua. 101 centros de trabajo están en estrés hídrico alto o extremadamente alto </w:t>
            </w:r>
            <w:r>
              <w:rPr>
                <w:rFonts w:ascii="Consolas" w:hAnsi="Consolas"/>
                <w:color w:val="7F3F00"/>
                <w:sz w:val="15"/>
              </w:rPr>
              <w:t>[sourced]</w:t>
            </w:r>
            <w:r>
              <w:rPr>
                <w:sz w:val="17"/>
              </w:rPr>
              <w:t xml:space="preserve">. La extracción de agua subió 15.1% desde FY2019 </w:t>
            </w:r>
            <w:r>
              <w:rPr>
                <w:rFonts w:ascii="Consolas" w:hAnsi="Consolas"/>
                <w:color w:val="7F3F00"/>
                <w:sz w:val="15"/>
              </w:rPr>
              <w:t>[calc]</w:t>
            </w:r>
            <w:r>
              <w:rPr>
                <w:sz w:val="17"/>
              </w:rPr>
              <w:t xml:space="preserve">. Existe una bolsa de capex de sustentabilidad desde 2025; el monto no se divulga </w:t>
            </w:r>
            <w:r>
              <w:rPr>
                <w:rFonts w:ascii="Consolas" w:hAnsi="Consolas"/>
                <w:color w:val="7F3F00"/>
                <w:sz w:val="15"/>
              </w:rPr>
              <w:t>[sourced]</w:t>
            </w:r>
          </w:p>
        </w:tc>
        <w:tc>
          <w:tcPr>
            <w:tcW w:type="dxa" w:w="831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−2.05</w:t>
            </w:r>
          </w:p>
        </w:tc>
        <w:tc>
          <w:tcPr>
            <w:tcW w:type="dxa" w:w="116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−2.05</w:t>
            </w:r>
          </w:p>
        </w:tc>
      </w:tr>
      <w:tr>
        <w:trPr>
          <w:cantSplit w:val="true"/>
        </w:trPr>
        <w:tc>
          <w:tcPr>
            <w:tcW w:type="dxa" w:w="398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Crecimiento de ventas −50 pb cada año</w:t>
            </w:r>
          </w:p>
        </w:tc>
        <w:tc>
          <w:tcPr>
            <w:tcW w:type="dxa" w:w="398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 xml:space="preserve">Regulación de salud: fase 3 del etiquetado frontal desde el 1-ene-2028 y reglas de alimentos escolares desde el 29-mar-2025 </w:t>
            </w:r>
            <w:r>
              <w:rPr>
                <w:rFonts w:ascii="Consolas" w:hAnsi="Consolas"/>
                <w:color w:val="7F3F00"/>
                <w:sz w:val="15"/>
              </w:rPr>
              <w:t>[sourced]</w:t>
            </w:r>
            <w:r>
              <w:rPr>
                <w:sz w:val="17"/>
              </w:rPr>
              <w:t>. Los consumidores se alejan del azúcar y la harina refinada</w:t>
            </w:r>
          </w:p>
        </w:tc>
        <w:tc>
          <w:tcPr>
            <w:tcW w:type="dxa" w:w="831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−1.84</w:t>
            </w:r>
          </w:p>
        </w:tc>
        <w:tc>
          <w:tcPr>
            <w:tcW w:type="dxa" w:w="116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−1.57</w:t>
            </w:r>
          </w:p>
        </w:tc>
      </w:tr>
      <w:tr>
        <w:trPr>
          <w:cantSplit w:val="true"/>
        </w:trPr>
        <w:tc>
          <w:tcPr>
            <w:tcW w:type="dxa" w:w="398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Múltiplo de salida −0.5x</w:t>
            </w:r>
          </w:p>
        </w:tc>
        <w:tc>
          <w:tcPr>
            <w:tcW w:type="dxa" w:w="398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 xml:space="preserve">Gobierno corporativo. El grupo de control tiene 72.03% y los consejeros independientes son 38.9% </w:t>
            </w:r>
            <w:r>
              <w:rPr>
                <w:rFonts w:ascii="Consolas" w:hAnsi="Consolas"/>
                <w:color w:val="7F3F00"/>
                <w:sz w:val="15"/>
              </w:rPr>
              <w:t>[sourced]</w:t>
            </w:r>
            <w:r>
              <w:rPr>
                <w:sz w:val="17"/>
              </w:rPr>
              <w:t xml:space="preserve">. La protección a minoritarios califica 1 de 10 en su rúbrica </w:t>
            </w:r>
            <w:r>
              <w:rPr>
                <w:rFonts w:ascii="Consolas" w:hAnsi="Consolas"/>
                <w:color w:val="7F3F00"/>
                <w:sz w:val="15"/>
              </w:rPr>
              <w:t>[assumption]</w:t>
            </w:r>
            <w:r>
              <w:rPr>
                <w:sz w:val="17"/>
              </w:rPr>
              <w:t>. El gobierno es el pilar débil en todas las fuentes de calificación</w:t>
            </w:r>
          </w:p>
        </w:tc>
        <w:tc>
          <w:tcPr>
            <w:tcW w:type="dxa" w:w="831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−5.90</w:t>
            </w:r>
          </w:p>
        </w:tc>
        <w:tc>
          <w:tcPr>
            <w:tcW w:type="dxa" w:w="116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0.00</w:t>
            </w:r>
          </w:p>
        </w:tc>
      </w:tr>
      <w:tr>
        <w:trPr>
          <w:cantSplit w:val="true"/>
        </w:trPr>
        <w:tc>
          <w:tcPr>
            <w:tcW w:type="dxa" w:w="398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Pasivo único de MXN 1,000 millones</w:t>
            </w:r>
          </w:p>
        </w:tc>
        <w:tc>
          <w:tcPr>
            <w:tcW w:type="dxa" w:w="398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 xml:space="preserve">Litigios. Las demandas colectivas de Canada Bread por fijación de precios siguen abiertas y sin provisión; la multa de CAD 50 millones se pagó en 2023 </w:t>
            </w:r>
            <w:r>
              <w:rPr>
                <w:rFonts w:ascii="Consolas" w:hAnsi="Consolas"/>
                <w:color w:val="7F3F00"/>
                <w:sz w:val="15"/>
              </w:rPr>
              <w:t>[sourced]</w:t>
            </w:r>
            <w:r>
              <w:rPr>
                <w:sz w:val="17"/>
              </w:rPr>
              <w:t>. Las posiciones fiscales inciertas (8,537) ya se restan en Gordon</w:t>
            </w:r>
          </w:p>
        </w:tc>
        <w:tc>
          <w:tcPr>
            <w:tcW w:type="dxa" w:w="831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−0.24</w:t>
            </w:r>
          </w:p>
        </w:tc>
        <w:tc>
          <w:tcPr>
            <w:tcW w:type="dxa" w:w="116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−0.24</w:t>
            </w:r>
          </w:p>
        </w:tc>
      </w:tr>
      <w:tr>
        <w:trPr>
          <w:cantSplit w:val="true"/>
        </w:trPr>
        <w:tc>
          <w:tcPr>
            <w:tcW w:type="dxa" w:w="398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Costo recurrente de MXN 1,000 millones al año antes de impuestos, desde FY2027</w:t>
            </w:r>
          </w:p>
        </w:tc>
        <w:tc>
          <w:tcPr>
            <w:tcW w:type="dxa" w:w="398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 xml:space="preserve">Mercado de carbono en México: piloto 2020-25, sin reglas publicadas </w:t>
            </w:r>
            <w:r>
              <w:rPr>
                <w:rFonts w:ascii="Consolas" w:hAnsi="Consolas"/>
                <w:color w:val="7F3F00"/>
                <w:sz w:val="15"/>
              </w:rPr>
              <w:t>[sourced]</w:t>
            </w:r>
            <w:r>
              <w:rPr>
                <w:sz w:val="17"/>
              </w:rPr>
              <w:t xml:space="preserve">. Responsabilidad extendida del productor por la ley del 19-ene-2026 </w:t>
            </w:r>
            <w:r>
              <w:rPr>
                <w:rFonts w:ascii="Consolas" w:hAnsi="Consolas"/>
                <w:color w:val="7F3F00"/>
                <w:sz w:val="15"/>
              </w:rPr>
              <w:t>[sourced]</w:t>
            </w:r>
          </w:p>
        </w:tc>
        <w:tc>
          <w:tcPr>
            <w:tcW w:type="dxa" w:w="831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−1.43</w:t>
            </w:r>
          </w:p>
        </w:tc>
        <w:tc>
          <w:tcPr>
            <w:tcW w:type="dxa" w:w="116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−1.77</w:t>
            </w:r>
          </w:p>
        </w:tc>
      </w:tr>
      <w:tr>
        <w:trPr>
          <w:cantSplit w:val="true"/>
        </w:trPr>
        <w:tc>
          <w:tcPr>
            <w:tcW w:type="dxa" w:w="398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Aumento de cupón del bono BIMBO 23L</w:t>
            </w:r>
          </w:p>
        </w:tc>
        <w:tc>
          <w:tcPr>
            <w:tcW w:type="dxa" w:w="3989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 xml:space="preserve">Alcance 3 / SBTi. +25 pb sobre MXN 12,000 millones del 21-nov-2031 al 20-may-2033 si no se verifica la meta de −28% </w:t>
            </w:r>
            <w:r>
              <w:rPr>
                <w:rFonts w:ascii="Consolas" w:hAnsi="Consolas"/>
                <w:color w:val="7F3F00"/>
                <w:sz w:val="15"/>
              </w:rPr>
              <w:t>[sourced]</w:t>
            </w:r>
            <w:r>
              <w:rPr>
                <w:sz w:val="17"/>
              </w:rPr>
              <w:t xml:space="preserve">. El Alcance 3 de 2025 quedó 46.7% arriba de la base del bono </w:t>
            </w:r>
            <w:r>
              <w:rPr>
                <w:rFonts w:ascii="Consolas" w:hAnsi="Consolas"/>
                <w:color w:val="7F3F00"/>
                <w:sz w:val="15"/>
              </w:rPr>
              <w:t>[calc]</w:t>
            </w:r>
            <w:r>
              <w:rPr>
                <w:sz w:val="17"/>
              </w:rPr>
              <w:t>. La certificación SBTi está en pausa</w:t>
            </w:r>
          </w:p>
        </w:tc>
        <w:tc>
          <w:tcPr>
            <w:tcW w:type="dxa" w:w="831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−0.004</w:t>
            </w:r>
          </w:p>
        </w:tc>
        <w:tc>
          <w:tcPr>
            <w:tcW w:type="dxa" w:w="1163"/>
          </w:tcPr>
          <w:p>
            <w:pPr>
              <w:keepNext/>
              <w:spacing w:after="0"/>
            </w:pPr>
            <w:r/>
            <w:r>
              <w:rPr>
                <w:sz w:val="17"/>
              </w:rPr>
              <w:t>−0.004</w:t>
            </w:r>
          </w:p>
        </w:tc>
      </w:tr>
      <w:tr>
        <w:trPr>
          <w:cantSplit w:val="true"/>
        </w:trPr>
        <w:tc>
          <w:tcPr>
            <w:tcW w:type="dxa" w:w="398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WACC +50 pb (no es ESG)</w:t>
            </w:r>
          </w:p>
        </w:tc>
        <w:tc>
          <w:tcPr>
            <w:tcW w:type="dxa" w:w="3989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Riesgo país y cambiario</w:t>
            </w:r>
          </w:p>
        </w:tc>
        <w:tc>
          <w:tcPr>
            <w:tcW w:type="dxa" w:w="831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−1.62</w:t>
            </w:r>
          </w:p>
        </w:tc>
        <w:tc>
          <w:tcPr>
            <w:tcW w:type="dxa" w:w="1163"/>
          </w:tcPr>
          <w:p>
            <w:pPr>
              <w:keepNext w:val="0"/>
              <w:spacing w:after="0"/>
            </w:pPr>
            <w:r/>
            <w:r>
              <w:rPr>
                <w:sz w:val="17"/>
              </w:rPr>
              <w:t>−5.64</w:t>
            </w:r>
          </w:p>
        </w:tc>
      </w:tr>
    </w:tbl>
    <w:p>
      <w:pPr>
        <w:spacing w:after="40"/>
      </w:pPr>
    </w:p>
    <w:p>
      <w:r>
        <w:rPr>
          <w:b/>
        </w:rPr>
        <w:t>Lectura.</w:t>
      </w:r>
    </w:p>
    <w:p>
      <w:pPr>
        <w:pStyle w:val="ListBullet"/>
      </w:pPr>
      <w:r>
        <w:rPr>
          <w:b/>
        </w:rPr>
        <w:t>Dónde pega el ESG.</w:t>
      </w:r>
      <w:r>
        <w:rPr/>
        <w:t xml:space="preserve"> Entra al valor sobre todo por el trigo y el agua (margen y capex) y por el gobierno corporativo (el múltiplo). Nada de eso requiere una tasa de descuento más alta.</w:t>
      </w:r>
    </w:p>
    <w:p>
      <w:pPr>
        <w:pStyle w:val="ListBullet"/>
      </w:pPr>
      <w:r>
        <w:rPr>
          <w:b/>
        </w:rPr>
        <w:t>Sin prima ESG en la tasa.</w:t>
      </w:r>
      <w:r>
        <w:rPr/>
        <w:t xml:space="preserve"> El reporte de Diego no encuentra ninguna fuente que ligue las calificaciones ESG de Bimbo con su costo de deuda o de capital. Agregar una prima contaría dos veces riesgos que ya están en los flujos.</w:t>
      </w:r>
    </w:p>
    <w:p>
      <w:pPr>
        <w:pStyle w:val="ListBullet"/>
      </w:pPr>
      <w:r>
        <w:rPr>
          <w:b/>
        </w:rPr>
        <w:t>Calificaciones como contexto.</w:t>
      </w:r>
      <w:r>
        <w:rPr/>
        <w:t xml:space="preserve"> LSEG da 84.62 (A) y S&amp;P da 59, contra un promedio de la industria de 29. Son contexto, no un supuesto de valuación.</w:t>
      </w:r>
    </w:p>
    <w:p>
      <w:pPr>
        <w:pStyle w:val="ListBullet"/>
      </w:pPr>
      <w:r>
        <w:rPr>
          <w:b/>
        </w:rPr>
        <w:t>Pasivos.</w:t>
      </w:r>
      <w:r>
        <w:rPr/>
        <w:t xml:space="preserve"> Cada MXN 1,000 millones de pasivo sin provisión cuesta unos Ps 0.24 por acción.</w:t>
      </w:r>
    </w:p>
    <w:p>
      <w:pPr>
        <w:pStyle w:val="Heading1"/>
      </w:pPr>
      <w:r>
        <w:rPr/>
        <w:t>10. Momento de decisión: qué significa para el HOLD</w:t>
      </w:r>
    </w:p>
    <w:p>
      <w:r>
        <w:rPr>
          <w:b/>
        </w:rPr>
        <w:t>Su idea, en sus palabras.</w:t>
      </w:r>
      <w:r>
        <w:rPr/>
        <w:t xml:space="preserve"> Tienen HOLD y quieren defender por qué se quedan: ni venden ni compran.</w:t>
      </w:r>
    </w:p>
    <w:p>
      <w:r>
        <w:rPr>
          <w:b/>
        </w:rPr>
        <w:t>Qué dice la evidencia consolidada.</w:t>
      </w:r>
    </w:p>
    <w:p>
      <w:pPr>
        <w:pStyle w:val="ListBullet"/>
      </w:pPr>
      <w:r>
        <w:rPr/>
        <w:t>El múltiplo de salida queda justo debajo del piso de HOLD: 46.42 hoy contra 46.66, o 45.69 con el impuesto recomendado.</w:t>
      </w:r>
    </w:p>
    <w:p>
      <w:pPr>
        <w:pStyle w:val="ListBullet"/>
      </w:pPr>
      <w:r>
        <w:rPr/>
        <w:t>El método de flujos (Gordon con 14.6% de rendimiento sobre el capital nuevo) queda muy dentro de SELL.</w:t>
      </w:r>
    </w:p>
    <w:p>
      <w:pPr>
        <w:pStyle w:val="ListBullet"/>
      </w:pPr>
      <w:r>
        <w:rPr/>
        <w:t>HOLD solo se sostiene si el equipo argumenta dos cosas: que el múltiplo terminal del mercado guía mejor que su propio cálculo de reinversión, y que Bimbo sí llega a un margen de 15.0% en FY2030.</w:t>
      </w:r>
    </w:p>
    <w:p>
      <w:r>
        <w:rPr>
          <w:b/>
        </w:rPr>
        <w:t>Mi recomendación.</w:t>
      </w:r>
    </w:p>
    <w:p>
      <w:pPr>
        <w:pStyle w:val="ListBullet"/>
      </w:pPr>
      <w:r>
        <w:rPr/>
        <w:t>Si mantienen HOLD, usen el DCF por múltiplo de salida como método principal y presenten Gordon como escenario bajista.</w:t>
      </w:r>
    </w:p>
    <w:p>
      <w:pPr>
        <w:pStyle w:val="ListBullet"/>
      </w:pPr>
      <w:r>
        <w:rPr/>
        <w:t>Anclen el múltiplo en evidencia que puedan mostrar: Bimbo cotiza hoy a 6.9-7.1x, tiene la mezcla de México, y las panificadoras núcleo cotizan a 5.4-6.1x.</w:t>
      </w:r>
    </w:p>
    <w:p>
      <w:pPr>
        <w:pStyle w:val="ListBullet"/>
      </w:pPr>
      <w:r>
        <w:rPr/>
        <w:t>Decidan primero el peso, la base del múltiplo y la tasa de impuesto, y solo después vean la banda. No escojan las reglas para caer dentro de HOLD; los jueces preguntan por qué cambiaron las reglas.</w:t>
      </w:r>
    </w:p>
    <w:p>
      <w:r>
        <w:rPr>
          <w:b/>
        </w:rPr>
        <w:t>El argumento más fuerte en contra.</w:t>
      </w:r>
    </w:p>
    <w:p>
      <w:pPr>
        <w:pStyle w:val="ListBullet"/>
      </w:pPr>
      <w:r>
        <w:rPr/>
        <w:t>Los dos métodos del DCF difieren 34%.</w:t>
      </w:r>
    </w:p>
    <w:p>
      <w:pPr>
        <w:pStyle w:val="ListBullet"/>
      </w:pPr>
      <w:r>
        <w:rPr/>
        <w:t>Un múltiplo cercano a 6x supone un rendimiento de 27.7% sobre el capital nuevo, casi el doble del 14.6% que implica la ruta de capex de su propia v3.</w:t>
      </w:r>
    </w:p>
    <w:p>
      <w:pPr>
        <w:pStyle w:val="ListBullet"/>
      </w:pPr>
      <w:r>
        <w:rPr/>
        <w:t>Con la configuración recomendada, el múltiplo mismo da −11.9%.</w:t>
      </w:r>
    </w:p>
    <w:p>
      <w:pPr>
        <w:pStyle w:val="ListBullet"/>
      </w:pPr>
      <w:r>
        <w:rPr/>
        <w:t>Un juez puede decir que el HOLD descansa en un supuesto que su propio Gordon rechaza. Visto así, la evidencia apunta a SELL.</w:t>
      </w:r>
    </w:p>
    <w:p>
      <w:r>
        <w:rPr>
          <w:b/>
        </w:rPr>
        <w:t>Pregunta para el equipo.</w:t>
      </w:r>
      <w:r>
        <w:rPr/>
        <w:t xml:space="preserve"> Para el valor terminal de Bimbo, ¿en qué confían más: en el múltiplo que el mercado les da a los comparables (5.4-6.1x para las panificadoras núcleo) o en su propio cálculo de reinversión (14.6% sobre el capital nuevo)?</w:t>
      </w:r>
    </w:p>
    <w:p>
      <w:pPr>
        <w:pStyle w:val="Heading1"/>
      </w:pPr>
      <w:r>
        <w:rPr/>
        <w:t>11. Decisiones que le corresponden al equipo</w:t>
      </w:r>
    </w:p>
    <w:p>
      <w:pPr>
        <w:tabs>
          <w:tab w:pos="369" w:val="left"/>
        </w:tabs>
        <w:ind w:left="369" w:hanging="369"/>
      </w:pPr>
      <w:r>
        <w:rPr/>
        <w:t>1.</w:t>
        <w:tab/>
      </w:r>
      <w:r>
        <w:rPr>
          <w:b/>
        </w:rPr>
        <w:t>Peso:</w:t>
      </w:r>
      <w:r>
        <w:rPr/>
        <w:t xml:space="preserve"> 50/50 entre los dos juegos de supuestos (recomendado) o un tercio por modelo.</w:t>
      </w:r>
    </w:p>
    <w:p>
      <w:pPr>
        <w:tabs>
          <w:tab w:pos="369" w:val="left"/>
        </w:tabs>
        <w:ind w:left="369" w:hanging="369"/>
      </w:pPr>
      <w:r>
        <w:rPr/>
        <w:t>2.</w:t>
        <w:tab/>
      </w:r>
      <w:r>
        <w:rPr>
          <w:b/>
        </w:rPr>
        <w:t>Base del múltiplo de salida:</w:t>
      </w:r>
      <w:r>
        <w:rPr/>
        <w:t xml:space="preserve"> la regla de Diego con datos consistentes en arrendamientos, 5.92x (recomendado), o el 6.2x sin ajustar.</w:t>
      </w:r>
    </w:p>
    <w:p>
      <w:pPr>
        <w:tabs>
          <w:tab w:pos="369" w:val="left"/>
        </w:tabs>
        <w:ind w:left="369" w:hanging="369"/>
      </w:pPr>
      <w:r>
        <w:rPr/>
        <w:t>3.</w:t>
        <w:tab/>
      </w:r>
      <w:r>
        <w:rPr>
          <w:b/>
        </w:rPr>
        <w:t>Impuesto sobre EBIT:</w:t>
      </w:r>
      <w:r>
        <w:rPr/>
        <w:t xml:space="preserve"> efectivo de 34% (recomendado para impuestos en efectivo), estatutario de 30%, o el promedio de 32% de la base.</w:t>
      </w:r>
    </w:p>
    <w:p>
      <w:pPr>
        <w:tabs>
          <w:tab w:pos="369" w:val="left"/>
        </w:tabs>
        <w:ind w:left="369" w:hanging="369"/>
      </w:pPr>
      <w:r>
        <w:rPr/>
        <w:t>4.</w:t>
        <w:tab/>
      </w:r>
      <w:r>
        <w:rPr>
          <w:b/>
        </w:rPr>
        <w:t>Minoritarios:</w:t>
      </w:r>
      <w:r>
        <w:rPr/>
        <w:t xml:space="preserve"> a valor de mercado (v3, provisional) o en libros.</w:t>
      </w:r>
    </w:p>
    <w:p>
      <w:pPr>
        <w:tabs>
          <w:tab w:pos="369" w:val="left"/>
        </w:tabs>
        <w:ind w:left="369" w:hanging="369"/>
      </w:pPr>
      <w:r>
        <w:rPr/>
        <w:t>5.</w:t>
        <w:tab/>
      </w:r>
      <w:r>
        <w:rPr>
          <w:b/>
        </w:rPr>
        <w:t>Horizonte:</w:t>
      </w:r>
      <w:r>
        <w:rPr/>
        <w:t xml:space="preserve"> la plantilla de cinco años (los dos compañeros) o los diez años de la v3 con el aumento gradual del capex. Esto fija la reinversión terminal.</w:t>
      </w:r>
    </w:p>
    <w:p>
      <w:pPr>
        <w:tabs>
          <w:tab w:pos="369" w:val="left"/>
        </w:tabs>
        <w:ind w:left="369" w:hanging="369"/>
      </w:pPr>
      <w:r>
        <w:rPr/>
        <w:t>6.</w:t>
        <w:tab/>
      </w:r>
      <w:r>
        <w:rPr>
          <w:b/>
        </w:rPr>
        <w:t>Precio objetivo y recomendación:</w:t>
      </w:r>
      <w:r>
        <w:rPr/>
        <w:t xml:space="preserve"> método principal, ponderación de métodos, precio objetivo y recomendación.</w:t>
      </w:r>
    </w:p>
    <w:p>
      <w:pPr>
        <w:pStyle w:val="Heading1"/>
      </w:pPr>
      <w:r>
        <w:rPr/>
        <w:t>12. Pendientes</w:t>
      </w:r>
    </w:p>
    <w:p>
      <w:pPr>
        <w:pStyle w:val="ListBullet"/>
      </w:pPr>
      <w:r>
        <w:rPr>
          <w:b/>
        </w:rPr>
        <w:t>Deuda y efectivo de Diego.</w:t>
      </w:r>
      <w:r>
        <w:rPr/>
        <w:t xml:space="preserve"> Sus libros todavía usan la deuda (194,918) y el efectivo (17,023) reconvertidos de Capital IQ. Diego debe confirmar el tipo de cambio y pasar a las cifras de la empresa (187,021 / 16,563).</w:t>
      </w:r>
    </w:p>
    <w:p>
      <w:pPr>
        <w:pStyle w:val="ListBullet"/>
      </w:pPr>
      <w:r>
        <w:rPr>
          <w:b/>
        </w:rPr>
        <w:t>EBITDA de Gruma</w:t>
      </w:r>
      <w:r>
        <w:rPr/>
        <w:t xml:space="preserve"> (punto abierto de Diego). La v3 usa la cifra de la empresa, 1,108.9, no el 995.0 de Capital IQ.</w:t>
      </w:r>
    </w:p>
    <w:p>
      <w:pPr>
        <w:pStyle w:val="ListBullet"/>
      </w:pPr>
      <w:r>
        <w:rPr>
          <w:b/>
        </w:rPr>
        <w:t>Minoritarios a valor de mercado.</w:t>
      </w:r>
      <w:r>
        <w:rPr/>
        <w:t xml:space="preserve"> Siguen como provisionales hasta que el equipo decida; también está abierto en la v3.</w:t>
      </w:r>
    </w:p>
    <w:p>
      <w:pPr>
        <w:pStyle w:val="ListBullet"/>
      </w:pPr>
      <w:r>
        <w:rPr>
          <w:b/>
        </w:rPr>
        <w:t>Proyección de Diego.</w:t>
      </w:r>
      <w:r>
        <w:rPr/>
        <w:t xml:space="preserve"> Por su propia descripción es un marcador de consenso. Los supuestos de la historia del equipo están en </w:t>
      </w:r>
      <w:r>
        <w:rPr>
          <w:rFonts w:ascii="Consolas" w:hAnsi="Consolas"/>
          <w:color w:val="7F3F00"/>
          <w:sz w:val="18"/>
        </w:rPr>
        <w:t>model/drivers.yaml</w:t>
      </w:r>
      <w:r>
        <w:rPr/>
        <w:t>.</w:t>
      </w:r>
    </w:p>
    <w:p>
      <w:pPr>
        <w:pStyle w:val="ListBullet"/>
      </w:pPr>
      <w:r>
        <w:rPr>
          <w:b/>
        </w:rPr>
        <w:t>Compuerta de publicación.</w:t>
      </w:r>
      <w:r>
        <w:rPr/>
        <w:t xml:space="preserve"> Los valores consolidados no están en ella. Si el equipo los adopta, hay que actualizar </w:t>
      </w:r>
      <w:r>
        <w:rPr>
          <w:rFonts w:ascii="Consolas" w:hAnsi="Consolas"/>
          <w:color w:val="7F3F00"/>
          <w:sz w:val="18"/>
        </w:rPr>
        <w:t>valuation-outputs.yaml</w:t>
      </w:r>
      <w:r>
        <w:rPr/>
        <w:t xml:space="preserve"> antes de que el reporte, la presentación o el pitch usen cualquier cifra.</w:t>
      </w:r>
    </w:p>
    <w:p>
      <w:pPr>
        <w:pStyle w:val="ListBullet"/>
      </w:pPr>
      <w:r>
        <w:rPr>
          <w:b/>
        </w:rPr>
        <w:t xml:space="preserve">Cifras </w:t>
      </w:r>
      <w:r>
        <w:rPr>
          <w:rFonts w:ascii="Consolas" w:hAnsi="Consolas"/>
          <w:b/>
          <w:color w:val="7F3F00"/>
          <w:sz w:val="18"/>
        </w:rPr>
        <w:t>[unverified]</w:t>
      </w:r>
      <w:r>
        <w:rPr>
          <w:b/>
        </w:rPr>
        <w:t xml:space="preserve"> del reporte ESG de Diego.</w:t>
      </w:r>
      <w:r>
        <w:rPr/>
        <w:t xml:space="preserve"> Por ejemplo, el alza del trigo en 2026 y los 89 contra 101 sitios con estrés hídrico. Hay que resolverlas o retirarlas antes del reporte oficial (sección 6 de su propio documento).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 xml:space="preserve">Grupo Bimbo (BIMBOA) - valuacion consolidada, borrador 19-oct-2026  | 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