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0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696"/>
              <w:gridCol w:w="10344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View Security: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Summary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Selected Tabs: 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All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Summary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Ownership Summary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3294"/>
              <w:gridCol w:w="2763"/>
              <w:gridCol w:w="2533"/>
              <w:gridCol w:w="2451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6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Type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6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Institutions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236,048,640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13,079.5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6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Public and Other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4,060,235,575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94.51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224,977.7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6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4,296,284,215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100.00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238,057.1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Float Summary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5520"/>
              <w:gridCol w:w="5520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 S.A.B. de CV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 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Standardized Data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 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Oct-06-2026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 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= Total Shares Excluded From Float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Free Float Shares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4,296,284,215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/ Shares outstanding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4,296,284,215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= Float%</w:t>
                  </w:r>
                </w:p>
              </w:tc>
              <w:tc>
                <w:tcPr>
                  <w:tcW w:w="50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Summary: Percent of Common Shares Outstanding (%)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811540"/>
                        <wp:docPr id="100001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80664746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8115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Top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Top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1841"/>
              <w:gridCol w:w="1841"/>
              <w:gridCol w:w="1840"/>
              <w:gridCol w:w="1839"/>
              <w:gridCol w:w="1840"/>
              <w:gridCol w:w="1840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Holder</w:t>
                  </w:r>
                </w:p>
              </w:tc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Position Date</w:t>
                  </w:r>
                </w:p>
              </w:tc>
              <w:tc>
                <w:tcPr>
                  <w:tcW w:w="16.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 is an Activist?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BlackRock Inc.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104,120,971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2.42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5,769.3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9/30/2026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Vanguard Capital Management LLC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50,654,024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1.18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2,806.7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Dimensional Fund Advisors LP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11,755,209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0.27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651.4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Geode Capital Management LLC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6,721,307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372.4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7/31/2026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Charles Schwab Investment Management Inc.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5,233,843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0.12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290.0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16.7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Current Top Holders Activity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335098"/>
                        <wp:docPr id="100002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87647326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3350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Top Mutual Fund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Top Mutual Fund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208"/>
              <w:gridCol w:w="2208"/>
              <w:gridCol w:w="2208"/>
              <w:gridCol w:w="2208"/>
              <w:gridCol w:w="2208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Holder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Position Date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iShares NAFTRAC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39,019,798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0.91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2,162.1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Vanguard STAR Funds - Vanguard Total International Stock ETF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17,381,900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0.40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963.1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Vanguard International Equity Index Funds - Vanguard FTSE Emerging Markets ETF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16,618,943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0.39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920.9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7/31/2026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iShares, Inc. - iShares Core MSCI Emerging Markets ETF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14,806,535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0.34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820.4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9/30/2026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iShares Inc. - iShares MSCI Mexico ETF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9,581,567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0.22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530.9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9/30/2026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Current Top Mutual Fund Holders Activity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335098"/>
                        <wp:docPr id="100003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6407501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3350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Inst. Owner Type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Owner Type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179"/>
              <w:gridCol w:w="1875"/>
              <w:gridCol w:w="1745"/>
              <w:gridCol w:w="1779"/>
              <w:gridCol w:w="1608"/>
              <w:gridCol w:w="1854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Type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Institutional Ownership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Shareholders (actual)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Traditional Investment Managers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228,768,215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96.92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5.32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12,676.0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87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Government Pension Sponsors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5,958,189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2.52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330.1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Insurance Companies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1,056,189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0.45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58.5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Sovereign Wealth Funds (&lt;5% stake)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167,294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9.3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Family Offices/Trusts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89,686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Hedge Fund Managers (&lt;5% stake)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9,067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236,048,640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100.00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5.48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13,079.5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95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Institutional Ownership (%) by Owner Type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811540"/>
                        <wp:docPr id="100004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66080680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8115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Country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Top Institutional Regional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760"/>
              <w:gridCol w:w="2760"/>
              <w:gridCol w:w="2760"/>
              <w:gridCol w:w="2760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2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Country/Region</w:t>
                  </w:r>
                </w:p>
              </w:tc>
              <w:tc>
                <w:tcPr>
                  <w:tcW w:w="2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Holders</w:t>
                  </w:r>
                </w:p>
              </w:tc>
              <w:tc>
                <w:tcPr>
                  <w:tcW w:w="2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2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USA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38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199,233,486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4.64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York City, NY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114,821,912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2.67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Boston, MA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11,712,192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0.27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Austin, TX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11,755,209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0.27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San Francisco, CA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5,944,987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Chicago, IL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731,588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Kansas City, MO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727,757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Los Angeles, CA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1,071,410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Philadelphia, PA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666,346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Hartford, CT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22,600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Atlanta, GA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123,329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Seattle, WA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71,000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Other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51,585,156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1.21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United Kingdom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9,533,243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0.22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London, UK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6,014,619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Birmingham, UK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797,233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Scotland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252,284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Other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2,469,107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Switzerland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4,566,918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0.11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Zurich, Switzerland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4,118,618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0.10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Other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448,300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France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4,240,874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0.10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Paris/Ile-de-France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3,825,490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0.09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Other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415,384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Mexico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4,429,504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0.10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Mexico City Metro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1,919,626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Other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2,509,878</w:t>
                  </w:r>
                </w:p>
              </w:tc>
              <w:tc>
                <w:tcPr>
                  <w:tcW w:w="2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0.06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105" w:bottomFromText="75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Percent of Common Shares Outstanding (%) by Country 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811540"/>
                        <wp:docPr id="100005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57462968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8115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Style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Calculated Investment Style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022"/>
              <w:gridCol w:w="1906"/>
              <w:gridCol w:w="1777"/>
              <w:gridCol w:w="1810"/>
              <w:gridCol w:w="1639"/>
              <w:gridCol w:w="1885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Type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Institutional Ownership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Shareholders (actual)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Growth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235,366,142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99.71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5.48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13,041.6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Aggressive Growth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513,279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0.22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28.4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GARP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169,219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236,048,640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100.00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13,079.5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95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Institutional Ownership (%) by Style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2382213"/>
                        <wp:docPr id="100006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160121928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23822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Market Cap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Market Cap Emphasis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1716"/>
              <w:gridCol w:w="1968"/>
              <w:gridCol w:w="1838"/>
              <w:gridCol w:w="1871"/>
              <w:gridCol w:w="1701"/>
              <w:gridCol w:w="1946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Type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Institutional Ownership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Shareholders (actual)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Large Cap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235,895,964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99.94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13,071.0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Mid Cap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119,626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6.6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Multi Cap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33,050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1.8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236,048,640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100.00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13,079.5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95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Institutional Ownership (%) by Market Cap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2858655"/>
                        <wp:docPr id="100007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74744128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28586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Turnover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Portfolio Turnover Ratio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143"/>
              <w:gridCol w:w="1882"/>
              <w:gridCol w:w="1752"/>
              <w:gridCol w:w="1786"/>
              <w:gridCol w:w="1615"/>
              <w:gridCol w:w="1861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Type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Institutional Ownership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Percent of Common Shares Outstanding (%)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4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Shareholders (actual)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Very Low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163,301,318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69.18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3.80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9,048.5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46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Low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21,024,769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8.91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1,165.0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43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 xml:space="preserve">Moderate 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1,062,738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0.45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0.02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58.9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Unclassified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50,659,815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21.46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1.18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2,807.1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Total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236,048,640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100.00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5.49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13,079.5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98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Institutional Ownership (%) by Portfolio Turnover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</w:rPr>
                    <w:drawing>
                      <wp:inline>
                        <wp:extent cx="6670196" cy="3335098"/>
                        <wp:docPr id="100008" name=""/>
                        <wp:cNvGraphicFramePr>
                          <a:graphicFrameLocks xmlns:a="http://purl.oclc.org/ooxml/drawingml/main" noChangeAspect="1"/>
                        </wp:cNvGraphicFramePr>
                        <a:graphic xmlns:a="http://purl.oclc.org/ooxml/drawingml/main">
                          <a:graphicData uri="http://purl.oclc.org/ooxml/drawingml/picture">
                            <pic:pic xmlns:pic="http://purl.oclc.org/ooxml/drawingml/picture">
                              <pic:nvPicPr>
                                <pic:cNvPr id="781317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purl.oclc.org/ooxml/officeDocument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70196" cy="33350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Top Buyers and Sellers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Top Buyers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208"/>
              <w:gridCol w:w="2208"/>
              <w:gridCol w:w="2208"/>
              <w:gridCol w:w="2208"/>
              <w:gridCol w:w="2208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Buyer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Change in Shares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Position Date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 is an Activist?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Dimensional Fund Advisors LP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11,755,209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496,544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American Century Investment Management Inc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727,757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265,169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BlackRock Inc.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104,120,971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238,701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9/30/2026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Geode Capital Management LLC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6,721,307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187,396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BMO Asset Management Corp.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331,500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184,900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Top Sellers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2208"/>
              <w:gridCol w:w="2208"/>
              <w:gridCol w:w="2208"/>
              <w:gridCol w:w="2208"/>
              <w:gridCol w:w="2208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Seller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Change in Shares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Position Date</w:t>
                  </w:r>
                </w:p>
              </w:tc>
              <w:tc>
                <w:tcPr>
                  <w:tcW w:w="20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Institution is an Activist?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Impulsora Del Fondo Mexico SC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1,800,000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(315,448)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Administradora General de Fondos Sura, S.A.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(37,973)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10/5/2026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Impulsora de Fondos Banamex S.A. de C.V. Sociedad Operadora de Sociedades de Inv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19,626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(36,704)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6/29/2026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Administradora General de Fondos Security SA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(36,359)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6/30/2026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ownership-investordisplay-content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Manulife Asset Management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191,357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(26,200)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5/31/2026</w:t>
                  </w:r>
                </w:p>
              </w:tc>
              <w:tc>
                <w:tcPr>
                  <w:tcW w:w="20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center"/>
                  <w:hideMark/>
                </w:tcPr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 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100%" w:type="pct"/>
                  <w:shd w:val="clear" w:color="auto" w:fill="525252"/>
                  <w:noWrap/>
                  <w:tcMar>
                    <w:top w:w="3.25pt" w:type="dxa"/>
                    <w:start w:w="3.25pt" w:type="dxa"/>
                    <w:bottom w:w="3.25pt" w:type="dxa"/>
                    <w:end w:w="3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5"/>
                      <w:szCs w:val="17"/>
                    </w:rPr>
                    <w:t>Ownership Activity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Institutions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profi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2.25pt" w:type="dxa"/>
                <w:start w:w="2.25pt" w:type="dxa"/>
                <w:bottom w:w="2.25pt" w:type="dxa"/>
                <w:end w:w="2.25pt" w:type="dxa"/>
              </w:tblCellMar>
              <w:tblLook w:firstColumn="1" w:firstRow="1" w:lastColumn="1" w:lastRow="1" w:noVBand="1"/>
            </w:tblPr>
            <w:tblGrid>
              <w:gridCol w:w="3680"/>
              <w:gridCol w:w="3680"/>
              <w:gridCol w:w="3680"/>
            </w:tblGrid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3.3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Mar-31-2026 To Jun-30-2026</w:t>
                  </w:r>
                </w:p>
              </w:tc>
              <w:tc>
                <w:tcPr>
                  <w:tcW w:w="33.3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Number of Holders</w:t>
                  </w:r>
                </w:p>
              </w:tc>
              <w:tc>
                <w:tcPr>
                  <w:tcW w:w="33.3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Common Stock Equivalent Held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Total Positions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96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234,500,224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New Positions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294,953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Increased Positions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19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2,678,548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Decreased Positions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20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FFFFF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(10,066,904)</w:t>
                  </w:r>
                </w:p>
              </w:tc>
            </w:tr>
            <w:tr>
              <w:tblPrEx>
                <w:tblW w:w="100%" w:type="pct"/>
                <w:tblCellMar>
                  <w:top w:w="2.25pt" w:type="dxa"/>
                  <w:start w:w="2.25pt" w:type="dxa"/>
                  <w:bottom w:w="2.25pt" w:type="dxa"/>
                  <w:end w:w="2.25pt" w:type="dxa"/>
                </w:tblCellMar>
                <w:tblLook w:firstColumn="1" w:firstRow="1" w:lastColumn="1" w:lastRow="1" w:noVBand="1"/>
              </w:tblPrEx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Sold Out Positions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w="33.3%" w:type="pct"/>
                  <w:tcBorders>
                    <w:top w:val="single" w:sz="6" w:space="0" w:color="E3E3E3"/>
                  </w:tcBorders>
                  <w:shd w:val="clear" w:color="auto" w:fill="F9F9F9"/>
                  <w:noWrap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CA0606"/>
                      <w:sz w:val="16"/>
                    </w:rPr>
                    <w:t>(46,157)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3.25pt" w:type="dxa"/>
                    <w:start w:w="2.5pt" w:type="dxa"/>
                    <w:bottom w:w="3.25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hui-profilehui-box-titlecaption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8"/>
                    </w:rPr>
                    <w:t>Individuals/Insiders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 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center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No data matches your settings. Please edit your settings to display content.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4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  <w:t>Other Strategic Holders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 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center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No data matches your settings. Please edit your settings to display content.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0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0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Based on latest available data.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br/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Public and Other equals total shares outstanding minus the sum of Institutions and all other Strategic Owners.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br/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 is the local currency of the equity listing, and currency conversion is based on today’s spot rate.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br/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Shares Held includes positions from 13F filings plus data aggregated from the mutual funds of non-13F filers. Excludes any positions held by non-US mutual funds managed by 13F filers.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br/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Total Shares Outstanding can exceed 100% because reporting requirements for holdings data is not aligned with the financials reporting of shares outstanding. 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br/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Market value is calculated using the closing price 55.41 MXN as of 10/6/2026.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13" name="Line 100013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14" name="Line 100014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90"/>
      <w:gridCol w:w="550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9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964606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Ownership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10" name="Line 100010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91"/>
      <w:gridCol w:w="449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1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2970915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Ownership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12" name="Line 10001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table" w:customStyle="1" w:styleId="hui-export-table-parenttable">
    <w:name w:val="hui-export-table-parent_table"/>
    <w:basedOn w:val="TableNormal"/>
    <w:tblPr/>
  </w:style>
  <w:style w:type="paragraph" w:customStyle="1" w:styleId="hui-layout">
    <w:name w:val="hui-layout"/>
    <w:basedOn w:val="Normal"/>
  </w:style>
  <w:style w:type="paragraph" w:customStyle="1" w:styleId="hui-export-nocolcol-md-6">
    <w:name w:val="hui-export-nocol_col-md-6"/>
    <w:basedOn w:val="Normal"/>
  </w:style>
  <w:style w:type="paragraph" w:customStyle="1" w:styleId="hui-profilehui-box-titlecaptiondiv">
    <w:name w:val="hui-profile_hui-box-title_caption_div"/>
    <w:basedOn w:val="Normal"/>
    <w:rPr>
      <w:sz w:val="20"/>
      <w:szCs w:val="20"/>
    </w:rPr>
  </w:style>
  <w:style w:type="table" w:customStyle="1" w:styleId="hui-profilehui-grid">
    <w:name w:val="hui-profile_hui-grid"/>
    <w:basedOn w:val="TableNormal"/>
    <w:tblPr/>
  </w:style>
  <w:style w:type="paragraph" w:customStyle="1" w:styleId="hui-gap">
    <w:name w:val="hui-gap"/>
    <w:basedOn w:val="Normal"/>
    <w:pPr>
      <w:pBdr>
        <w:bottom w:val="none" w:sz="0" w:space="11" w:color="auto"/>
      </w:pBdr>
    </w:pPr>
  </w:style>
  <w:style w:type="paragraph" w:customStyle="1" w:styleId="ownership-investordisplay-content">
    <w:name w:val="ownership-investor_display-content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10" Type="http://purl.oclc.org/ooxml/officeDocument/relationships/image" Target="media/image7.png" /><Relationship Id="rId11" Type="http://purl.oclc.org/ooxml/officeDocument/relationships/image" Target="media/image8.png" /><Relationship Id="rId12" Type="http://purl.oclc.org/ooxml/officeDocument/relationships/header" Target="header1.xml" /><Relationship Id="rId13" Type="http://purl.oclc.org/ooxml/officeDocument/relationships/footer" Target="footer1.xml" /><Relationship Id="rId14" Type="http://purl.oclc.org/ooxml/officeDocument/relationships/header" Target="header2.xml" /><Relationship Id="rId15" Type="http://purl.oclc.org/ooxml/officeDocument/relationships/footer" Target="footer2.xml" /><Relationship Id="rId16" Type="http://purl.oclc.org/ooxml/officeDocument/relationships/styles" Target="style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image" Target="media/image2.png" /><Relationship Id="rId6" Type="http://purl.oclc.org/ooxml/officeDocument/relationships/image" Target="media/image3.png" /><Relationship Id="rId7" Type="http://purl.oclc.org/ooxml/officeDocument/relationships/image" Target="media/image4.png" /><Relationship Id="rId8" Type="http://purl.oclc.org/ooxml/officeDocument/relationships/image" Target="media/image5.png" /><Relationship Id="rId9" Type="http://purl.oclc.org/ooxml/officeDocument/relationships/image" Target="media/image6.png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9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9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