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42"/>
                    <w:gridCol w:w="999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Millions (6)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Consolidation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Consolidated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Decimals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Default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Accounting Standard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Accounting Standard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Sentiment Analysis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502"/>
                    <w:gridCol w:w="1053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Ticker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col-md-6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strike w:val="0"/>
                                                    <w:color w:val="000000"/>
                                                    <w:u w:val="none"/>
                                                  </w:rPr>
                                                  <w:drawing>
                                                    <wp:inline>
                                                      <wp:extent cx="4002118" cy="857597"/>
                                                      <wp:docPr id="100001" name=""/>
                                                      <wp:cNvGraphicFramePr>
                                                        <a:graphicFrameLocks xmlns:a="http://purl.oclc.org/ooxml/drawingml/main" noChangeAspect="1"/>
                                                      </wp:cNvGraphicFramePr>
                                                      <a:graphic xmlns:a="http://purl.oclc.org/ooxml/drawingml/main">
                                                        <a:graphicData uri="http://purl.oclc.org/ooxml/drawingml/picture">
                                                          <pic:pic xmlns:pic="http://purl.oclc.org/ooxml/drawingml/picture">
                                                            <pic:nvPicPr>
                                                              <pic:cNvPr id="1485880611" name=""/>
                                                              <pic:cNvPicPr>
                                                                <a:picLocks noChangeAspect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xmlns:r="http://purl.oclc.org/ooxml/officeDocument/relationships" r:embed="rId4"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4002118" cy="857597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>
                                                                <a:noFill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FFFFFF"/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hui-grid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2208"/>
                                                        <w:gridCol w:w="2208"/>
                                                        <w:gridCol w:w="2208"/>
                                                        <w:gridCol w:w="2208"/>
                                                        <w:gridCol w:w="2208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Target Price (Mex$)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 xml:space="preserve">LT Growth (%) 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Price Volatility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Industry Rec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70.17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13.63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3.00 (Average)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3.00 (Hold)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Median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69.50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13.63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High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87.00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15.35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Low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51.00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11.90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 w:val="0"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Standard Deviation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9.79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1.73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 w:val="0"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Number of Analysts¹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12/12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2/2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pStyle w:val="hui-align-righ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MARKET SUMMARY (Mex$)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hui-grid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840"/>
                                            <w:gridCol w:w="1839"/>
                                            <w:gridCol w:w="1840"/>
                                            <w:gridCol w:w="1841"/>
                                            <w:gridCol w:w="1841"/>
                                            <w:gridCol w:w="18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Last Delayed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Open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Previous Close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Day High/Low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52 Week High/Low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shd w:val="clear" w:color="auto" w:fill="F2F2F2"/>
                                                <w:noWrap w:val="0"/>
                                                <w:tcMar>
                                                  <w:top w:w="1.75pt" w:type="dxa"/>
                                                  <w:start w:w="1.75pt" w:type="dxa"/>
                                                  <w:bottom w:w="1.75pt" w:type="dxa"/>
                                                  <w:end w:w="1.75pt" w:type="dxa"/>
                                                </w:tcMar>
                                                <w:vAlign w:val="bottom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15"/>
                                                    <w:szCs w:val="17"/>
                                                  </w:rPr>
                                                  <w:t>Potential Upside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caps/>
                                                    <w:smallCaps w:val="0"/>
                                                    <w:color w:val="000000"/>
                                                    <w:sz w:val="22"/>
                                                    <w:szCs w:val="24"/>
                                                  </w:rPr>
                                                  <w:t xml:space="preserve">² 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54.20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55.25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55.15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55.28/54.02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68.67/53.03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6.7%" w:type="pct"/>
                                                <w:tcBorders>
                                                  <w:top w:val="single" w:sz="6" w:space="0" w:color="E3E3E3"/>
                                                </w:tcBorders>
                                                <w:shd w:val="clear" w:color="auto" w:fill="F9F9F9"/>
                                                <w:noWrap/>
                                                <w:tcMar>
                                                  <w:top w:w="4.1pt" w:type="dxa"/>
                                                  <w:start w:w="4pt" w:type="dxa"/>
                                                  <w:bottom w:w="4pt" w:type="dxa"/>
                                                  <w:end w:w="4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end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29.46%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Current Consensus Trend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strike w:val="0"/>
                                                    <w:color w:val="000000"/>
                                                    <w:u w:val="none"/>
                                                  </w:rPr>
                                                  <w:drawing>
                                                    <wp:inline>
                                                      <wp:extent cx="6670196" cy="2382213"/>
                                                      <wp:docPr id="100002" name=""/>
                                                      <wp:cNvGraphicFramePr>
                                                        <a:graphicFrameLocks xmlns:a="http://purl.oclc.org/ooxml/drawingml/main" noChangeAspect="1"/>
                                                      </wp:cNvGraphicFramePr>
                                                      <a:graphic xmlns:a="http://purl.oclc.org/ooxml/drawingml/main">
                                                        <a:graphicData uri="http://purl.oclc.org/ooxml/drawingml/picture">
                                                          <pic:pic xmlns:pic="http://purl.oclc.org/ooxml/drawingml/picture">
                                                            <pic:nvPicPr>
                                                              <pic:cNvPr id="366748310" name=""/>
                                                              <pic:cNvPicPr>
                                                                <a:picLocks noChangeAspect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xmlns:r="http://purl.oclc.org/ooxml/officeDocument/relationships" r:embed="rId5"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6670196" cy="238221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>
                                                                <a:noFill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Mean Estimates and Actuals Summary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502"/>
                    <w:gridCol w:w="1053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Ticker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EPS Normalized (Mex$)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col-md-12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994"/>
                                                  <w:gridCol w:w="1674"/>
                                                  <w:gridCol w:w="1674"/>
                                                  <w:gridCol w:w="1674"/>
                                                  <w:gridCol w:w="1674"/>
                                                  <w:gridCol w:w="1674"/>
                                                  <w:gridCol w:w="1674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9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FQ1 - Mar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FQ2 - Jun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FQ3 - Sep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FQ4 - Dec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FY/NTM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FY Number of Analysts</w:t>
                                                      </w: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22"/>
                                                          <w:szCs w:val="24"/>
                                                        </w:rPr>
                                                        <w:t>¹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NTM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3.18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0.92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0.89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0.95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0.74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3.50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7/7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0.54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0.76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0.85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0.72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2.88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8/9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0.41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0.65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0.78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0.73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2.58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8/9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0.55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0.68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0.87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0.90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3.07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8/9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0.62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0.80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0.93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0.88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3.35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7/7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3.80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9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4.02 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.1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2/2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Multiples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hui-grid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3312"/>
                                      <w:gridCol w:w="1932"/>
                                      <w:gridCol w:w="1932"/>
                                      <w:gridCol w:w="1932"/>
                                      <w:gridCol w:w="1932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w="3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NTM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2026FY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2027FY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end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2028FY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PE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17.02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17.66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16.19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14.28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P/ BV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1.85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1.68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1.56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P/ CFPS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4.98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4.43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5.68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5.49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PEG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1.25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1.30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1.19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1.05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TEV/ EBIT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10.67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10.86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10.49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9.70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TEV/ EBITDA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6.40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6.55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6.27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5.89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TEV/ Revenue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0.93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0.95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0.91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0.87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3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Market Cap/ Revenue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0.53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0.55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0.52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.5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hui-align-righ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0.50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tcBorders>
                          <w:bottom w:val="single" w:sz="12" w:space="0" w:color="000000"/>
                        </w:tcBorders>
                        <w:noWrap/>
                        <w:tcMar>
                          <w:top w:w="0.25pt" w:type="dxa"/>
                          <w:start w:w="0.25pt" w:type="dxa"/>
                          <w:bottom w:w="6.75pt" w:type="dxa"/>
                          <w:end w:w="0.2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4"/>
                          </w:rPr>
                          <w:t>Surprise Chart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502"/>
                    <w:gridCol w:w="1053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Ticker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EPS Normalized (Mex$)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hui-box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strike w:val="0"/>
                                              <w:color w:val="000000"/>
                                              <w:u w:val="none"/>
                                            </w:rPr>
                                            <w:drawing>
                                              <wp:inline>
                                                <wp:extent cx="6670196" cy="2382213"/>
                                                <wp:docPr id="100003" name=""/>
                                                <wp:cNvGraphicFramePr>
                                                  <a:graphicFrameLocks xmlns:a="http://purl.oclc.org/ooxml/drawingml/main" noChangeAspect="1"/>
                                                </wp:cNvGraphicFramePr>
                                                <a:graphic xmlns:a="http://purl.oclc.org/ooxml/drawingml/main">
                                                  <a:graphicData uri="http://purl.oclc.org/ooxml/drawingml/picture">
                                                    <pic:pic xmlns:pic="http://purl.oclc.org/ooxml/drawingml/picture">
                                                      <pic:nvPicPr>
                                                        <pic:cNvPr id="1736801567" name="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xmlns:r="http://purl.oclc.org/ooxml/officeDocument/relationships" r:embed="rId6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6670196" cy="2382213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W w:w="100%" w:type="pct"/>
        <w:tblInd w:w="8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0870"/>
      </w:tblGrid>
      <w:tr>
        <w:tblPrEx>
          <w:tblW w:w="100%" w:type="pct"/>
          <w:tblInd w:w="8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rPr>
          <w:vanish/>
          <w:sz w:val="16"/>
        </w:rPr>
      </w:pPr>
    </w:p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1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 w:val="0"/>
                                    <w:tcMar>
                                      <w:top w:w="0.25pt" w:type="dxa"/>
                                      <w:start w:w="0.25pt" w:type="dxa"/>
                                      <w:bottom w:w="0.25pt" w:type="dxa"/>
                                      <w:end w:w="0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footer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1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footer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1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040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Share and per share items are in actual magnitude.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footer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1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040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22"/>
                                                                <w:szCs w:val="24"/>
                                                              </w:rPr>
                                                              <w:t>¹</w:t>
                                                            </w: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 Number of Analysts represents the total number of analysts forecasting for a specified data item and period end. Suppressed estimates are not included in the calculation of estimates.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footer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1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1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040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22"/>
                                                                <w:szCs w:val="24"/>
                                                              </w:rPr>
                                                              <w:t>²</w:t>
                                                            </w: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 Potential Upside: The percentage difference between the Consensus Target Price and the Close Price.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8" name="Line 100008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9" name="Line 100009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76"/>
      <w:gridCol w:w="564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4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1044953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Estimate Highlights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5" name="Line 100005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79"/>
      <w:gridCol w:w="4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6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1870292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Estimate Highlights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7" name="Line 100007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col-md-6">
    <w:name w:val="col-md-6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footerhui-box">
    <w:name w:val="hui-footer_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10" Type="http://purl.oclc.org/ooxml/officeDocument/relationships/footer" Target="footer2.xml" /><Relationship Id="rId11" Type="http://purl.oclc.org/ooxml/officeDocument/relationships/styles" Target="style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image" Target="media/image2.png" /><Relationship Id="rId6" Type="http://purl.oclc.org/ooxml/officeDocument/relationships/image" Target="media/image3.png" /><Relationship Id="rId7" Type="http://purl.oclc.org/ooxml/officeDocument/relationships/header" Target="header1.xml" /><Relationship Id="rId8" Type="http://purl.oclc.org/ooxml/officeDocument/relationships/footer" Target="footer1.xml" /><Relationship Id="rId9" Type="http://purl.oclc.org/ooxml/officeDocument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4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4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