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Grupo Bimbo (BIMBOA) — Single HOLD thesis v4</w:t>
      </w:r>
    </w:p>
    <w:p>
      <w:r>
        <w:t>28-Oct-2026 · Jorge Alejandro Gaytan (team) · Shared draft: https://claude.ai/artifact/Y95Nd3h5YbN3CbtD6eCHUh</w:t>
      </w:r>
    </w:p>
    <w:p>
      <w:pPr>
        <w:pStyle w:val="Heading1"/>
      </w:pPr>
      <w:r>
        <w:t>The thesis</w:t>
      </w:r>
    </w:p>
    <w:p>
      <w:r>
        <w:rPr>
          <w:b/>
        </w:rPr>
        <w:t>HOLD, 12-month target price Ps 64.18, against Ps 58.60 (BMV close, 16-Oct-2026): +9.5% in price and +11.4% total return, in line with a 12.26% cost of equity.</w:t>
      </w:r>
    </w:p>
    <w:p>
      <w:r>
        <w:t>North America's margin is recovering and the CEO change kept continuity, so there is no case to sell. But the model already grants Bimbo its record margin in perpetuity and still values the stock at roughly what it costs, and the risks around that margin are skewed down in 2027. The stock should earn its cost of capital, no more: HOLD.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Pillar</w:t>
            </w:r>
          </w:p>
        </w:tc>
        <w:tc>
          <w:tcPr>
            <w:tcW w:type="dxa" w:w="3213"/>
            <w:shd w:val="clear" w:color="auto" w:fill="D9E2F3"/>
          </w:tcPr>
          <w:p>
            <w:r/>
            <w:r>
              <w:rPr>
                <w:b/>
                <w:sz w:val="18"/>
              </w:rPr>
              <w:t>Thesis ("Problem — due to [cause]")</w:t>
            </w:r>
          </w:p>
        </w:tc>
        <w:tc>
          <w:tcPr>
            <w:tcW w:type="dxa" w:w="3213"/>
            <w:shd w:val="clear" w:color="auto" w:fill="D9E2F3"/>
          </w:tcPr>
          <w:p>
            <w:r/>
            <w:r>
              <w:rPr>
                <w:b/>
                <w:sz w:val="18"/>
              </w:rPr>
              <w:t>Role</w:t>
            </w:r>
          </w:p>
        </w:tc>
      </w:tr>
      <w:tr>
        <w:tc>
          <w:tcPr>
            <w:tcW w:type="dxa" w:w="3213"/>
          </w:tcPr>
          <w:p>
            <w:r/>
            <w:r>
              <w:rPr>
                <w:sz w:val="18"/>
              </w:rPr>
              <w:t>P1</w:t>
            </w:r>
          </w:p>
        </w:tc>
        <w:tc>
          <w:tcPr>
            <w:tcW w:type="dxa" w:w="3213"/>
          </w:tcPr>
          <w:p>
            <w:r/>
            <w:r>
              <w:rPr>
                <w:sz w:val="18"/>
              </w:rPr>
              <w:t>North America's margin problem is being corrected and execution risk is falling — due to internal productivity and cost actions and a CEO transition with continuity</w:t>
            </w:r>
          </w:p>
        </w:tc>
        <w:tc>
          <w:tcPr>
            <w:tcW w:type="dxa" w:w="3213"/>
          </w:tcPr>
          <w:p>
            <w:r/>
            <w:r>
              <w:rPr>
                <w:sz w:val="18"/>
              </w:rPr>
              <w:t>Why not sell</w:t>
            </w:r>
          </w:p>
        </w:tc>
      </w:tr>
      <w:tr>
        <w:tc>
          <w:tcPr>
            <w:tcW w:type="dxa" w:w="3213"/>
          </w:tcPr>
          <w:p>
            <w:r/>
            <w:r>
              <w:rPr>
                <w:sz w:val="18"/>
              </w:rPr>
              <w:t>P2</w:t>
            </w:r>
          </w:p>
        </w:tc>
        <w:tc>
          <w:tcPr>
            <w:tcW w:type="dxa" w:w="3213"/>
          </w:tcPr>
          <w:p>
            <w:r/>
            <w:r>
              <w:rPr>
                <w:sz w:val="18"/>
              </w:rPr>
              <w:t>The improvement is already in the price — due to a model that already grants the record margin in perpetuity</w:t>
            </w:r>
          </w:p>
        </w:tc>
        <w:tc>
          <w:tcPr>
            <w:tcW w:type="dxa" w:w="3213"/>
          </w:tcPr>
          <w:p>
            <w:r/>
            <w:r>
              <w:rPr>
                <w:sz w:val="18"/>
              </w:rPr>
              <w:t>Why not buy</w:t>
            </w:r>
          </w:p>
        </w:tc>
      </w:tr>
      <w:tr>
        <w:tc>
          <w:tcPr>
            <w:tcW w:type="dxa" w:w="3213"/>
          </w:tcPr>
          <w:p>
            <w:r/>
            <w:r>
              <w:rPr>
                <w:sz w:val="18"/>
              </w:rPr>
              <w:t>P3</w:t>
            </w:r>
          </w:p>
        </w:tc>
        <w:tc>
          <w:tcPr>
            <w:tcW w:type="dxa" w:w="3213"/>
          </w:tcPr>
          <w:p>
            <w:r/>
            <w:r>
              <w:rPr>
                <w:sz w:val="18"/>
              </w:rPr>
              <w:t>The risk around that margin is skewed down — due to a 2027 cost test (raw materials, peso) and a value that rests on the terminal year</w:t>
            </w:r>
          </w:p>
        </w:tc>
        <w:tc>
          <w:tcPr>
            <w:tcW w:type="dxa" w:w="3213"/>
          </w:tcPr>
          <w:p>
            <w:r/>
            <w:r>
              <w:rPr>
                <w:sz w:val="18"/>
              </w:rPr>
              <w:t>Why not buy</w:t>
            </w:r>
          </w:p>
        </w:tc>
      </w:tr>
    </w:tbl>
    <w:p/>
    <w:p>
      <w:r>
        <w:t xml:space="preserve">Tags: [sourced] filing or public source; [guidance] management said it; [assumption] team judgment; [calc] computed from tagged numbers; [unverified] not yet tied to a source, kept out of the report. "V2" = the model of record, </w:t>
      </w:r>
      <w:r>
        <w:rPr>
          <w:rFonts w:ascii="Consolas" w:hAnsi="Consolas"/>
        </w:rPr>
        <w:t>BIMBOA_statements_2021-2030_v2_pivot_waccV2.xlsx</w:t>
      </w:r>
      <w:r>
        <w:t xml:space="preserve">; "TP12m copy" = its test copy with sheet </w:t>
      </w:r>
      <w:r>
        <w:rPr>
          <w:rFonts w:ascii="Consolas" w:hAnsi="Consolas"/>
        </w:rPr>
        <w:t>Valuacion_12m</w:t>
      </w:r>
      <w:r>
        <w:t>.</w:t>
      </w:r>
    </w:p>
    <w:p>
      <w:pPr>
        <w:pStyle w:val="Heading1"/>
      </w:pPr>
      <w:r>
        <w:t>P1 · Why not sell: North America is being fixed and execution has continuity</w:t>
      </w:r>
    </w:p>
    <w:p>
      <w:r>
        <w:t>North America's adjusted EBITDA margin fell from 12.2% in FY2021 to a 5.9% quarterly low in 4Q24 and is back to 10.8% in 3Q26, driven mostly by actions inside the company.</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Evidence</w:t>
            </w:r>
          </w:p>
        </w:tc>
        <w:tc>
          <w:tcPr>
            <w:tcW w:type="dxa" w:w="3213"/>
            <w:shd w:val="clear" w:color="auto" w:fill="D9E2F3"/>
          </w:tcPr>
          <w:p>
            <w:r/>
            <w:r>
              <w:rPr>
                <w:b/>
                <w:sz w:val="18"/>
              </w:rPr>
              <w:t>Value</w:t>
            </w:r>
          </w:p>
        </w:tc>
        <w:tc>
          <w:tcPr>
            <w:tcW w:type="dxa" w:w="3213"/>
            <w:shd w:val="clear" w:color="auto" w:fill="D9E2F3"/>
          </w:tcPr>
          <w:p>
            <w:r/>
            <w:r>
              <w:rPr>
                <w:b/>
                <w:sz w:val="18"/>
              </w:rPr>
              <w:t>Tag and source</w:t>
            </w:r>
          </w:p>
        </w:tc>
      </w:tr>
      <w:tr>
        <w:tc>
          <w:tcPr>
            <w:tcW w:type="dxa" w:w="3213"/>
          </w:tcPr>
          <w:p>
            <w:r/>
            <w:r>
              <w:rPr>
                <w:sz w:val="18"/>
              </w:rPr>
              <w:t>NA adjusted EBITDA margin, FY2021 / FY2024 / FY2025</w:t>
            </w:r>
          </w:p>
        </w:tc>
        <w:tc>
          <w:tcPr>
            <w:tcW w:type="dxa" w:w="3213"/>
          </w:tcPr>
          <w:p>
            <w:r/>
            <w:r>
              <w:rPr>
                <w:sz w:val="18"/>
              </w:rPr>
              <w:t>12.23% / 8.35% / 9.00%</w:t>
            </w:r>
          </w:p>
        </w:tc>
        <w:tc>
          <w:tcPr>
            <w:tcW w:type="dxa" w:w="3213"/>
          </w:tcPr>
          <w:p>
            <w:r/>
            <w:r>
              <w:rPr>
                <w:sz w:val="18"/>
              </w:rPr>
              <w:t>[sourced] V2 Segments B62, E62, F62</w:t>
            </w:r>
          </w:p>
        </w:tc>
      </w:tr>
      <w:tr>
        <w:tc>
          <w:tcPr>
            <w:tcW w:type="dxa" w:w="3213"/>
          </w:tcPr>
          <w:p>
            <w:r/>
            <w:r>
              <w:rPr>
                <w:sz w:val="18"/>
              </w:rPr>
              <w:t>NA quarterly low</w:t>
            </w:r>
          </w:p>
        </w:tc>
        <w:tc>
          <w:tcPr>
            <w:tcW w:type="dxa" w:w="3213"/>
          </w:tcPr>
          <w:p>
            <w:r/>
            <w:r>
              <w:rPr>
                <w:sz w:val="18"/>
              </w:rPr>
              <w:t>5.9% in 4Q24</w:t>
            </w:r>
          </w:p>
        </w:tc>
        <w:tc>
          <w:tcPr>
            <w:tcW w:type="dxa" w:w="3213"/>
          </w:tcPr>
          <w:p>
            <w:r/>
            <w:r>
              <w:rPr>
                <w:sz w:val="18"/>
              </w:rPr>
              <w:t xml:space="preserve">[sourced] 4T24 release p.4-7, via wiki </w:t>
            </w:r>
            <w:r>
              <w:rPr>
                <w:rFonts w:ascii="Consolas" w:hAnsi="Consolas"/>
                <w:sz w:val="18"/>
              </w:rPr>
              <w:t>bimbo-north-america-turnaround-evidence</w:t>
            </w:r>
          </w:p>
        </w:tc>
      </w:tr>
      <w:tr>
        <w:tc>
          <w:tcPr>
            <w:tcW w:type="dxa" w:w="3213"/>
          </w:tcPr>
          <w:p>
            <w:r/>
            <w:r>
              <w:rPr>
                <w:sz w:val="18"/>
              </w:rPr>
              <w:t>NA margin 3Q26 vs 3Q25</w:t>
            </w:r>
          </w:p>
        </w:tc>
        <w:tc>
          <w:tcPr>
            <w:tcW w:type="dxa" w:w="3213"/>
          </w:tcPr>
          <w:p>
            <w:r/>
            <w:r>
              <w:rPr>
                <w:sz w:val="18"/>
              </w:rPr>
              <w:t>10.8% vs 10.4% (+40 bp)</w:t>
            </w:r>
          </w:p>
        </w:tc>
        <w:tc>
          <w:tcPr>
            <w:tcW w:type="dxa" w:w="3213"/>
          </w:tcPr>
          <w:p>
            <w:r/>
            <w:r>
              <w:rPr>
                <w:sz w:val="18"/>
              </w:rPr>
              <w:t>[sourced] 3Q26 release p.2, p.5</w:t>
            </w:r>
          </w:p>
        </w:tc>
      </w:tr>
      <w:tr>
        <w:tc>
          <w:tcPr>
            <w:tcW w:type="dxa" w:w="3213"/>
          </w:tcPr>
          <w:p>
            <w:r/>
            <w:r>
              <w:rPr>
                <w:sz w:val="18"/>
              </w:rPr>
              <w:t>Drivers named by the company</w:t>
            </w:r>
          </w:p>
        </w:tc>
        <w:tc>
          <w:tcPr>
            <w:tcW w:type="dxa" w:w="3213"/>
          </w:tcPr>
          <w:p>
            <w:r/>
            <w:r>
              <w:rPr>
                <w:sz w:val="18"/>
              </w:rPr>
              <w:t>Transformation productivity, favourable price mix and lower restructuring, offsetting lower volumes, higher logistics and the strong peso</w:t>
            </w:r>
          </w:p>
        </w:tc>
        <w:tc>
          <w:tcPr>
            <w:tcW w:type="dxa" w:w="3213"/>
          </w:tcPr>
          <w:p>
            <w:r/>
            <w:r>
              <w:rPr>
                <w:sz w:val="18"/>
              </w:rPr>
              <w:t>[sourced] 3Q26 release p.5</w:t>
            </w:r>
          </w:p>
        </w:tc>
      </w:tr>
      <w:tr>
        <w:tc>
          <w:tcPr>
            <w:tcW w:type="dxa" w:w="3213"/>
          </w:tcPr>
          <w:p>
            <w:r/>
            <w:r>
              <w:rPr>
                <w:sz w:val="18"/>
              </w:rPr>
              <w:t>NA net sales 3Q26</w:t>
            </w:r>
          </w:p>
        </w:tc>
        <w:tc>
          <w:tcPr>
            <w:tcW w:type="dxa" w:w="3213"/>
          </w:tcPr>
          <w:p>
            <w:r/>
            <w:r>
              <w:rPr>
                <w:sz w:val="18"/>
              </w:rPr>
              <w:t>+1.0% ex-FX, third straight quarter of growth; −6.8% in pesos</w:t>
            </w:r>
          </w:p>
        </w:tc>
        <w:tc>
          <w:tcPr>
            <w:tcW w:type="dxa" w:w="3213"/>
          </w:tcPr>
          <w:p>
            <w:r/>
            <w:r>
              <w:rPr>
                <w:sz w:val="18"/>
              </w:rPr>
              <w:t>[sourced] 3Q26 release p.3</w:t>
            </w:r>
          </w:p>
        </w:tc>
      </w:tr>
      <w:tr>
        <w:tc>
          <w:tcPr>
            <w:tcW w:type="dxa" w:w="3213"/>
          </w:tcPr>
          <w:p>
            <w:r/>
            <w:r>
              <w:rPr>
                <w:sz w:val="18"/>
              </w:rPr>
              <w:t>Group 3Q26</w:t>
            </w:r>
          </w:p>
        </w:tc>
        <w:tc>
          <w:tcPr>
            <w:tcW w:type="dxa" w:w="3213"/>
          </w:tcPr>
          <w:p>
            <w:r/>
            <w:r>
              <w:rPr>
                <w:sz w:val="18"/>
              </w:rPr>
              <w:t>Adjusted EBITDA margin 15.7% (+100 bp); net debt / adjusted EBITDA 2.4x; free cash flow ~Ps 17bn in 9M26</w:t>
            </w:r>
          </w:p>
        </w:tc>
        <w:tc>
          <w:tcPr>
            <w:tcW w:type="dxa" w:w="3213"/>
          </w:tcPr>
          <w:p>
            <w:r/>
            <w:r>
              <w:rPr>
                <w:sz w:val="18"/>
              </w:rPr>
              <w:t>[sourced] 3Q26 release p.2</w:t>
            </w:r>
          </w:p>
        </w:tc>
      </w:tr>
      <w:tr>
        <w:tc>
          <w:tcPr>
            <w:tcW w:type="dxa" w:w="3213"/>
          </w:tcPr>
          <w:p>
            <w:r/>
            <w:r>
              <w:rPr>
                <w:sz w:val="18"/>
              </w:rPr>
              <w:t>FY2026 margin guidance</w:t>
            </w:r>
          </w:p>
        </w:tc>
        <w:tc>
          <w:tcPr>
            <w:tcW w:type="dxa" w:w="3213"/>
          </w:tcPr>
          <w:p>
            <w:r/>
            <w:r>
              <w:rPr>
                <w:sz w:val="18"/>
              </w:rPr>
              <w:t>Raised for the third time, to +85 to +120 bp over FY2025</w:t>
            </w:r>
          </w:p>
        </w:tc>
        <w:tc>
          <w:tcPr>
            <w:tcW w:type="dxa" w:w="3213"/>
          </w:tcPr>
          <w:p>
            <w:r/>
            <w:r>
              <w:rPr>
                <w:sz w:val="18"/>
              </w:rPr>
              <w:t>[guidance] 3Q26 call, CFO, 15:11:53</w:t>
            </w:r>
          </w:p>
        </w:tc>
      </w:tr>
      <w:tr>
        <w:tc>
          <w:tcPr>
            <w:tcW w:type="dxa" w:w="3213"/>
          </w:tcPr>
          <w:p>
            <w:r/>
            <w:r>
              <w:rPr>
                <w:sz w:val="18"/>
              </w:rPr>
              <w:t>Mexico as the cushion</w:t>
            </w:r>
          </w:p>
        </w:tc>
        <w:tc>
          <w:tcPr>
            <w:tcW w:type="dxa" w:w="3213"/>
          </w:tcPr>
          <w:p>
            <w:r/>
            <w:r>
              <w:rPr>
                <w:sz w:val="18"/>
              </w:rPr>
              <w:t>54.4% of FY2025 adjusted EBITDA (sum of regions); 3Q26 margin 22.4% (+200 bp)</w:t>
            </w:r>
          </w:p>
        </w:tc>
        <w:tc>
          <w:tcPr>
            <w:tcW w:type="dxa" w:w="3213"/>
          </w:tcPr>
          <w:p>
            <w:r/>
            <w:r>
              <w:rPr>
                <w:sz w:val="18"/>
              </w:rPr>
              <w:t>[calc] V2 Segments F53 / (F58 − F57); [sourced] 3Q26 release p.2</w:t>
            </w:r>
          </w:p>
        </w:tc>
      </w:tr>
      <w:tr>
        <w:tc>
          <w:tcPr>
            <w:tcW w:type="dxa" w:w="3213"/>
          </w:tcPr>
          <w:p>
            <w:r/>
            <w:r>
              <w:rPr>
                <w:sz w:val="18"/>
              </w:rPr>
              <w:t>CEO</w:t>
            </w:r>
          </w:p>
        </w:tc>
        <w:tc>
          <w:tcPr>
            <w:tcW w:type="dxa" w:w="3213"/>
          </w:tcPr>
          <w:p>
            <w:r/>
            <w:r>
              <w:rPr>
                <w:sz w:val="18"/>
              </w:rPr>
              <w:t>Alejandro Rodríguez Bas, CEO since November 2025; joined in October 2021 as Barcel Global CEO; ex-PepsiCo, Grupo Lala, C&amp;S, Acosta</w:t>
            </w:r>
          </w:p>
        </w:tc>
        <w:tc>
          <w:tcPr>
            <w:tcW w:type="dxa" w:w="3213"/>
          </w:tcPr>
          <w:p>
            <w:r/>
            <w:r>
              <w:rPr>
                <w:sz w:val="18"/>
              </w:rPr>
              <w:t xml:space="preserve">[sourced] RA25 p.178, via wiki </w:t>
            </w:r>
            <w:r>
              <w:rPr>
                <w:rFonts w:ascii="Consolas" w:hAnsi="Consolas"/>
                <w:sz w:val="18"/>
              </w:rPr>
              <w:t>bimbo-governance-and-ownership</w:t>
            </w:r>
          </w:p>
        </w:tc>
      </w:tr>
      <w:tr>
        <w:tc>
          <w:tcPr>
            <w:tcW w:type="dxa" w:w="3213"/>
          </w:tcPr>
          <w:p>
            <w:r/>
            <w:r>
              <w:rPr>
                <w:sz w:val="18"/>
              </w:rPr>
              <w:t>Continuity</w:t>
            </w:r>
          </w:p>
        </w:tc>
        <w:tc>
          <w:tcPr>
            <w:tcW w:type="dxa" w:w="3213"/>
          </w:tcPr>
          <w:p>
            <w:r/>
            <w:r>
              <w:rPr>
                <w:sz w:val="18"/>
              </w:rPr>
              <w:t>CFO Diego Gaxiola since 2017; Greg Koehrsen named BBU President in January 2026</w:t>
            </w:r>
          </w:p>
        </w:tc>
        <w:tc>
          <w:tcPr>
            <w:tcW w:type="dxa" w:w="3213"/>
          </w:tcPr>
          <w:p>
            <w:r/>
            <w:r>
              <w:rPr>
                <w:sz w:val="18"/>
              </w:rPr>
              <w:t>[sourced] RA25 p.178, p.180, via the same wiki article</w:t>
            </w:r>
          </w:p>
        </w:tc>
      </w:tr>
    </w:tbl>
    <w:p/>
    <w:p>
      <w:r>
        <w:rPr>
          <w:b/>
        </w:rPr>
        <w:t>What we do not claim:</w:t>
      </w:r>
      <w:r>
        <w:t xml:space="preserve"> that the CEO caused the recovery. NA's margin had already climbed from its 4Q24 low before he took over, and four quarters are too few to separate his contribution from the program started in 2024. P1 says execution risk is lower, not that the CEO created the turnaround.</w:t>
      </w:r>
    </w:p>
    <w:p>
      <w:pPr>
        <w:pStyle w:val="Heading1"/>
      </w:pPr>
      <w:r>
        <w:t>P2 · Why not buy: the record margin is already in the price</w:t>
      </w:r>
    </w:p>
    <w:p>
      <w:r>
        <w:t>The V2 holds a 15.12% adjusted EBITDA margin from FY2027E to FY2030E, above every year from FY2021 to FY2025, and still values the stock at Ps 59.21 today, 1.0% above the price.</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Evidence</w:t>
            </w:r>
          </w:p>
        </w:tc>
        <w:tc>
          <w:tcPr>
            <w:tcW w:type="dxa" w:w="3213"/>
            <w:shd w:val="clear" w:color="auto" w:fill="D9E2F3"/>
          </w:tcPr>
          <w:p>
            <w:r/>
            <w:r>
              <w:rPr>
                <w:b/>
                <w:sz w:val="18"/>
              </w:rPr>
              <w:t>Value</w:t>
            </w:r>
          </w:p>
        </w:tc>
        <w:tc>
          <w:tcPr>
            <w:tcW w:type="dxa" w:w="3213"/>
            <w:shd w:val="clear" w:color="auto" w:fill="D9E2F3"/>
          </w:tcPr>
          <w:p>
            <w:r/>
            <w:r>
              <w:rPr>
                <w:b/>
                <w:sz w:val="18"/>
              </w:rPr>
              <w:t>Tag and source</w:t>
            </w:r>
          </w:p>
        </w:tc>
      </w:tr>
      <w:tr>
        <w:tc>
          <w:tcPr>
            <w:tcW w:type="dxa" w:w="3213"/>
          </w:tcPr>
          <w:p>
            <w:r/>
            <w:r>
              <w:rPr>
                <w:sz w:val="18"/>
              </w:rPr>
              <w:t>Adjusted EBITDA margin FY2021–FY2025</w:t>
            </w:r>
          </w:p>
        </w:tc>
        <w:tc>
          <w:tcPr>
            <w:tcW w:type="dxa" w:w="3213"/>
          </w:tcPr>
          <w:p>
            <w:r/>
            <w:r>
              <w:rPr>
                <w:sz w:val="18"/>
              </w:rPr>
              <w:t>13.98%, 13.40%, 13.74%, 13.59%, 13.93%</w:t>
            </w:r>
          </w:p>
        </w:tc>
        <w:tc>
          <w:tcPr>
            <w:tcW w:type="dxa" w:w="3213"/>
          </w:tcPr>
          <w:p>
            <w:r/>
            <w:r>
              <w:rPr>
                <w:sz w:val="18"/>
              </w:rPr>
              <w:t>[calc] V2 IS row 39 / row 6, columns B–F</w:t>
            </w:r>
          </w:p>
        </w:tc>
      </w:tr>
      <w:tr>
        <w:tc>
          <w:tcPr>
            <w:tcW w:type="dxa" w:w="3213"/>
          </w:tcPr>
          <w:p>
            <w:r/>
            <w:r>
              <w:rPr>
                <w:sz w:val="18"/>
              </w:rPr>
              <w:t>Model margin FY2026E / FY2027E–FY2030E</w:t>
            </w:r>
          </w:p>
        </w:tc>
        <w:tc>
          <w:tcPr>
            <w:tcW w:type="dxa" w:w="3213"/>
          </w:tcPr>
          <w:p>
            <w:r/>
            <w:r>
              <w:rPr>
                <w:sz w:val="18"/>
              </w:rPr>
              <w:t>14.84% / 15.12% each year</w:t>
            </w:r>
          </w:p>
        </w:tc>
        <w:tc>
          <w:tcPr>
            <w:tcW w:type="dxa" w:w="3213"/>
          </w:tcPr>
          <w:p>
            <w:r/>
            <w:r>
              <w:rPr>
                <w:sz w:val="18"/>
              </w:rPr>
              <w:t>[calc] V2 IS G39/G6, H39:K39 / H6:K6</w:t>
            </w:r>
          </w:p>
        </w:tc>
      </w:tr>
      <w:tr>
        <w:tc>
          <w:tcPr>
            <w:tcW w:type="dxa" w:w="3213"/>
          </w:tcPr>
          <w:p>
            <w:r/>
            <w:r>
              <w:rPr>
                <w:sz w:val="18"/>
              </w:rPr>
              <w:t>FY2026 guidance range applied to FY2025</w:t>
            </w:r>
          </w:p>
        </w:tc>
        <w:tc>
          <w:tcPr>
            <w:tcW w:type="dxa" w:w="3213"/>
          </w:tcPr>
          <w:p>
            <w:r/>
            <w:r>
              <w:rPr>
                <w:sz w:val="18"/>
              </w:rPr>
              <w:t>14.78% to 15.13% (13.93% + 85 to 120 bp)</w:t>
            </w:r>
          </w:p>
        </w:tc>
        <w:tc>
          <w:tcPr>
            <w:tcW w:type="dxa" w:w="3213"/>
          </w:tcPr>
          <w:p>
            <w:r/>
            <w:r>
              <w:rPr>
                <w:sz w:val="18"/>
              </w:rPr>
              <w:t>[calc] from the guidance above</w:t>
            </w:r>
          </w:p>
        </w:tc>
      </w:tr>
      <w:tr>
        <w:tc>
          <w:tcPr>
            <w:tcW w:type="dxa" w:w="3213"/>
          </w:tcPr>
          <w:p>
            <w:r/>
            <w:r>
              <w:rPr>
                <w:sz w:val="18"/>
              </w:rPr>
              <w:t>Basic EPS FY2025 → FY2030E</w:t>
            </w:r>
          </w:p>
        </w:tc>
        <w:tc>
          <w:tcPr>
            <w:tcW w:type="dxa" w:w="3213"/>
          </w:tcPr>
          <w:p>
            <w:r/>
            <w:r>
              <w:rPr>
                <w:sz w:val="18"/>
              </w:rPr>
              <w:t>Ps 2.58 → Ps 5.17 (×2.0)</w:t>
            </w:r>
          </w:p>
        </w:tc>
        <w:tc>
          <w:tcPr>
            <w:tcW w:type="dxa" w:w="3213"/>
          </w:tcPr>
          <w:p>
            <w:r/>
            <w:r>
              <w:rPr>
                <w:sz w:val="18"/>
              </w:rPr>
              <w:t>[calc] V2 IS F33, K33</w:t>
            </w:r>
          </w:p>
        </w:tc>
      </w:tr>
      <w:tr>
        <w:tc>
          <w:tcPr>
            <w:tcW w:type="dxa" w:w="3213"/>
          </w:tcPr>
          <w:p>
            <w:r/>
            <w:r>
              <w:rPr>
                <w:sz w:val="18"/>
              </w:rPr>
              <w:t>P/E at Ps 58.60, FY2026E / FY2027E</w:t>
            </w:r>
          </w:p>
        </w:tc>
        <w:tc>
          <w:tcPr>
            <w:tcW w:type="dxa" w:w="3213"/>
          </w:tcPr>
          <w:p>
            <w:r/>
            <w:r>
              <w:rPr>
                <w:sz w:val="18"/>
              </w:rPr>
              <w:t>18.4x / 15.0x</w:t>
            </w:r>
          </w:p>
        </w:tc>
        <w:tc>
          <w:tcPr>
            <w:tcW w:type="dxa" w:w="3213"/>
          </w:tcPr>
          <w:p>
            <w:r/>
            <w:r>
              <w:rPr>
                <w:sz w:val="18"/>
              </w:rPr>
              <w:t>[calc] V2 IS G33, H33</w:t>
            </w:r>
          </w:p>
        </w:tc>
      </w:tr>
      <w:tr>
        <w:tc>
          <w:tcPr>
            <w:tcW w:type="dxa" w:w="3213"/>
          </w:tcPr>
          <w:p>
            <w:r/>
            <w:r>
              <w:rPr>
                <w:sz w:val="18"/>
              </w:rPr>
              <w:t>DCF value today vs price</w:t>
            </w:r>
          </w:p>
        </w:tc>
        <w:tc>
          <w:tcPr>
            <w:tcW w:type="dxa" w:w="3213"/>
          </w:tcPr>
          <w:p>
            <w:r/>
            <w:r>
              <w:rPr>
                <w:sz w:val="18"/>
              </w:rPr>
              <w:t>Ps 59.21 vs Ps 58.60 (+1.0%)</w:t>
            </w:r>
          </w:p>
        </w:tc>
        <w:tc>
          <w:tcPr>
            <w:tcW w:type="dxa" w:w="3213"/>
          </w:tcPr>
          <w:p>
            <w:r/>
            <w:r>
              <w:rPr>
                <w:sz w:val="18"/>
              </w:rPr>
              <w:t>[calc] V2 Valuacion B59, B60, B61</w:t>
            </w:r>
          </w:p>
        </w:tc>
      </w:tr>
      <w:tr>
        <w:tc>
          <w:tcPr>
            <w:tcW w:type="dxa" w:w="3213"/>
          </w:tcPr>
          <w:p>
            <w:r/>
            <w:r>
              <w:rPr>
                <w:sz w:val="18"/>
              </w:rPr>
              <w:t>Terminal value share of EV</w:t>
            </w:r>
          </w:p>
        </w:tc>
        <w:tc>
          <w:tcPr>
            <w:tcW w:type="dxa" w:w="3213"/>
          </w:tcPr>
          <w:p>
            <w:r/>
            <w:r>
              <w:rPr>
                <w:sz w:val="18"/>
              </w:rPr>
              <w:t>78.0%</w:t>
            </w:r>
          </w:p>
        </w:tc>
        <w:tc>
          <w:tcPr>
            <w:tcW w:type="dxa" w:w="3213"/>
          </w:tcPr>
          <w:p>
            <w:r/>
            <w:r>
              <w:rPr>
                <w:sz w:val="18"/>
              </w:rPr>
              <w:t>[calc] V2 Valuacion B44</w:t>
            </w:r>
          </w:p>
        </w:tc>
      </w:tr>
      <w:tr>
        <w:tc>
          <w:tcPr>
            <w:tcW w:type="dxa" w:w="3213"/>
          </w:tcPr>
          <w:p>
            <w:r/>
            <w:r>
              <w:rPr>
                <w:sz w:val="18"/>
              </w:rPr>
              <w:t>Terminal RONIC vs history</w:t>
            </w:r>
          </w:p>
        </w:tc>
        <w:tc>
          <w:tcPr>
            <w:tcW w:type="dxa" w:w="3213"/>
          </w:tcPr>
          <w:p>
            <w:r/>
            <w:r>
              <w:rPr>
                <w:sz w:val="18"/>
              </w:rPr>
              <w:t>15.75% vs FY2025 11.86%; FY2022–FY2025 range 11.86%–17.73%</w:t>
            </w:r>
          </w:p>
        </w:tc>
        <w:tc>
          <w:tcPr>
            <w:tcW w:type="dxa" w:w="3213"/>
          </w:tcPr>
          <w:p>
            <w:r/>
            <w:r>
              <w:rPr>
                <w:sz w:val="18"/>
              </w:rPr>
              <w:t>[assumption] V2 Assumptions B697; [calc] B693, B695, B696</w:t>
            </w:r>
          </w:p>
        </w:tc>
      </w:tr>
    </w:tbl>
    <w:p/>
    <w:p>
      <w:r>
        <w:rPr>
          <w:b/>
        </w:rPr>
        <w:t>Our angle versus the market:</w:t>
      </w:r>
      <w:r>
        <w:t xml:space="preserve"> we grant management the record margin forever and the stock is still only fairly priced. A buyer needs more than the record margin — a margin above 15.1% sustained, a terminal RONIC above the 15.75% already assumed, or a lower cost of capital. The sell-side is also at Hold (mean score 2.58, 12 analysts) but with a mean target of Ps 70.17 (median 69.50) as of 20-Sep-2026, before the 3Q26 results [sourced] S&amp;P Capital IQ Estimate Highlights, via wiki </w:t>
      </w:r>
      <w:r>
        <w:rPr>
          <w:rFonts w:ascii="Consolas" w:hAnsi="Consolas"/>
        </w:rPr>
        <w:t>ciq-sell-side-sentiment-facts</w:t>
      </w:r>
      <w:r>
        <w:t>. Our Ps 64.18 is 8.5% below that mean [calc]: we refuse to pay for more than the record margin.</w:t>
      </w:r>
    </w:p>
    <w:p>
      <w:pPr>
        <w:pStyle w:val="Heading1"/>
      </w:pPr>
      <w:r>
        <w:t>P3 · Why not buy: the risk around the margin is skewed down</w:t>
      </w:r>
    </w:p>
    <w:p>
      <w:r>
        <w:t>Management itself flags 2027 as a cost test, and the model's own sensitivities put more and deeper outcomes below the price than above it.</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Evidence</w:t>
            </w:r>
          </w:p>
        </w:tc>
        <w:tc>
          <w:tcPr>
            <w:tcW w:type="dxa" w:w="3213"/>
            <w:shd w:val="clear" w:color="auto" w:fill="D9E2F3"/>
          </w:tcPr>
          <w:p>
            <w:r/>
            <w:r>
              <w:rPr>
                <w:b/>
                <w:sz w:val="18"/>
              </w:rPr>
              <w:t>Value</w:t>
            </w:r>
          </w:p>
        </w:tc>
        <w:tc>
          <w:tcPr>
            <w:tcW w:type="dxa" w:w="3213"/>
            <w:shd w:val="clear" w:color="auto" w:fill="D9E2F3"/>
          </w:tcPr>
          <w:p>
            <w:r/>
            <w:r>
              <w:rPr>
                <w:b/>
                <w:sz w:val="18"/>
              </w:rPr>
              <w:t>Tag and source</w:t>
            </w:r>
          </w:p>
        </w:tc>
      </w:tr>
      <w:tr>
        <w:tc>
          <w:tcPr>
            <w:tcW w:type="dxa" w:w="3213"/>
          </w:tcPr>
          <w:p>
            <w:r/>
            <w:r>
              <w:rPr>
                <w:sz w:val="18"/>
              </w:rPr>
              <w:t>2027 costs</w:t>
            </w:r>
          </w:p>
        </w:tc>
        <w:tc>
          <w:tcPr>
            <w:tcW w:type="dxa" w:w="3213"/>
          </w:tcPr>
          <w:p>
            <w:r/>
            <w:r>
              <w:rPr>
                <w:sz w:val="18"/>
              </w:rPr>
              <w:t>"In 2027 we're going to face headwinds in terms of the cost of sales because of the cost of the raw materials"; the CFO adds this is not guidance of a margin decline</w:t>
            </w:r>
          </w:p>
        </w:tc>
        <w:tc>
          <w:tcPr>
            <w:tcW w:type="dxa" w:w="3213"/>
          </w:tcPr>
          <w:p>
            <w:r/>
            <w:r>
              <w:rPr>
                <w:sz w:val="18"/>
              </w:rPr>
              <w:t>[guidance] 3Q26 call, CFO, 15:18:58</w:t>
            </w:r>
          </w:p>
        </w:tc>
      </w:tr>
      <w:tr>
        <w:tc>
          <w:tcPr>
            <w:tcW w:type="dxa" w:w="3213"/>
          </w:tcPr>
          <w:p>
            <w:r/>
            <w:r>
              <w:rPr>
                <w:sz w:val="18"/>
              </w:rPr>
              <w:t>Hedging</w:t>
            </w:r>
          </w:p>
        </w:tc>
        <w:tc>
          <w:tcPr>
            <w:tcW w:type="dxa" w:w="3213"/>
          </w:tcPr>
          <w:p>
            <w:r/>
            <w:r>
              <w:rPr>
                <w:sz w:val="18"/>
              </w:rPr>
              <w:t>Main raw materials almost 100% hedged for 1H27; 4Q26 fully hedged; 2027 not fully hedged ("that would represent 15 months, and that is something that we never do")</w:t>
            </w:r>
          </w:p>
        </w:tc>
        <w:tc>
          <w:tcPr>
            <w:tcW w:type="dxa" w:w="3213"/>
          </w:tcPr>
          <w:p>
            <w:r/>
            <w:r>
              <w:rPr>
                <w:sz w:val="18"/>
              </w:rPr>
              <w:t>[guidance] 3Q26 call, CFO, 15:42:35</w:t>
            </w:r>
          </w:p>
        </w:tc>
      </w:tr>
      <w:tr>
        <w:tc>
          <w:tcPr>
            <w:tcW w:type="dxa" w:w="3213"/>
          </w:tcPr>
          <w:p>
            <w:r/>
            <w:r>
              <w:rPr>
                <w:sz w:val="18"/>
              </w:rPr>
              <w:t>Peso</w:t>
            </w:r>
          </w:p>
        </w:tc>
        <w:tc>
          <w:tcPr>
            <w:tcW w:type="dxa" w:w="3213"/>
          </w:tcPr>
          <w:p>
            <w:r/>
            <w:r>
              <w:rPr>
                <w:sz w:val="18"/>
              </w:rPr>
              <w:t>CFO expects some exchange-rate pressure for Mexico after a very strong peso</w:t>
            </w:r>
          </w:p>
        </w:tc>
        <w:tc>
          <w:tcPr>
            <w:tcW w:type="dxa" w:w="3213"/>
          </w:tcPr>
          <w:p>
            <w:r/>
            <w:r>
              <w:rPr>
                <w:sz w:val="18"/>
              </w:rPr>
              <w:t>[guidance] 3Q26 call, CFO, 15:18:58</w:t>
            </w:r>
          </w:p>
        </w:tc>
      </w:tr>
      <w:tr>
        <w:tc>
          <w:tcPr>
            <w:tcW w:type="dxa" w:w="3213"/>
          </w:tcPr>
          <w:p>
            <w:r/>
            <w:r>
              <w:rPr>
                <w:sz w:val="18"/>
              </w:rPr>
              <w:t>Environment</w:t>
            </w:r>
          </w:p>
        </w:tc>
        <w:tc>
          <w:tcPr>
            <w:tcW w:type="dxa" w:w="3213"/>
          </w:tcPr>
          <w:p>
            <w:r/>
            <w:r>
              <w:rPr>
                <w:sz w:val="18"/>
              </w:rPr>
              <w:t>CEO: "mindful of a more inflationary environment" in 2027</w:t>
            </w:r>
          </w:p>
        </w:tc>
        <w:tc>
          <w:tcPr>
            <w:tcW w:type="dxa" w:w="3213"/>
          </w:tcPr>
          <w:p>
            <w:r/>
            <w:r>
              <w:rPr>
                <w:sz w:val="18"/>
              </w:rPr>
              <w:t>[guidance] 3Q26 call, CEO, 15:08:37</w:t>
            </w:r>
          </w:p>
        </w:tc>
      </w:tr>
      <w:tr>
        <w:tc>
          <w:tcPr>
            <w:tcW w:type="dxa" w:w="3213"/>
          </w:tcPr>
          <w:p>
            <w:r/>
            <w:r>
              <w:rPr>
                <w:sz w:val="18"/>
              </w:rPr>
              <w:t>NA volume</w:t>
            </w:r>
          </w:p>
        </w:tc>
        <w:tc>
          <w:tcPr>
            <w:tcW w:type="dxa" w:w="3213"/>
          </w:tcPr>
          <w:p>
            <w:r/>
            <w:r>
              <w:rPr>
                <w:sz w:val="18"/>
              </w:rPr>
              <w:t>Lower volumes in 3Q26, offset by price mix and share gains</w:t>
            </w:r>
          </w:p>
        </w:tc>
        <w:tc>
          <w:tcPr>
            <w:tcW w:type="dxa" w:w="3213"/>
          </w:tcPr>
          <w:p>
            <w:r/>
            <w:r>
              <w:rPr>
                <w:sz w:val="18"/>
              </w:rPr>
              <w:t>[sourced] 3Q26 release p.3, p.5</w:t>
            </w:r>
          </w:p>
        </w:tc>
      </w:tr>
      <w:tr>
        <w:tc>
          <w:tcPr>
            <w:tcW w:type="dxa" w:w="3213"/>
          </w:tcPr>
          <w:p>
            <w:r/>
            <w:r>
              <w:rPr>
                <w:sz w:val="18"/>
              </w:rPr>
              <w:t>Restructuring in the model</w:t>
            </w:r>
          </w:p>
        </w:tc>
        <w:tc>
          <w:tcPr>
            <w:tcW w:type="dxa" w:w="3213"/>
          </w:tcPr>
          <w:p>
            <w:r/>
            <w:r>
              <w:rPr>
                <w:sz w:val="18"/>
              </w:rPr>
              <w:t>Ps 3,908m in FY2025 (0.92% of sales); zero from FY2027E</w:t>
            </w:r>
          </w:p>
        </w:tc>
        <w:tc>
          <w:tcPr>
            <w:tcW w:type="dxa" w:w="3213"/>
          </w:tcPr>
          <w:p>
            <w:r/>
            <w:r>
              <w:rPr>
                <w:sz w:val="18"/>
              </w:rPr>
              <w:t>[sourced] V2 Assumptions B316 (EEFF25 p.82); [assumption] B347, B410, B459, B508; [calc] B316 / IS F6</w:t>
            </w:r>
          </w:p>
        </w:tc>
      </w:tr>
      <w:tr>
        <w:tc>
          <w:tcPr>
            <w:tcW w:type="dxa" w:w="3213"/>
          </w:tcPr>
          <w:p>
            <w:r/>
            <w:r>
              <w:rPr>
                <w:sz w:val="18"/>
              </w:rPr>
              <w:t>Sensitivities today (Ps per share)</w:t>
            </w:r>
          </w:p>
        </w:tc>
        <w:tc>
          <w:tcPr>
            <w:tcW w:type="dxa" w:w="3213"/>
          </w:tcPr>
          <w:p>
            <w:r/>
            <w:r>
              <w:rPr>
                <w:sz w:val="18"/>
              </w:rPr>
              <w:t>Below −10% of price: 50.73 (WACC +0.5 pp), 48.88 (RONIC at FY2022–FY2025 low), 39.12 (RONIC = WACC). Above +10%: 69.47 (WACC −0.5 pp), 65.91 (NA passes through full inflation)</w:t>
            </w:r>
          </w:p>
        </w:tc>
        <w:tc>
          <w:tcPr>
            <w:tcW w:type="dxa" w:w="3213"/>
          </w:tcPr>
          <w:p>
            <w:r/>
            <w:r>
              <w:rPr>
                <w:sz w:val="18"/>
              </w:rPr>
              <w:t>[calc] V2 Valuacion B64–B70</w:t>
            </w:r>
          </w:p>
        </w:tc>
      </w:tr>
      <w:tr>
        <w:tc>
          <w:tcPr>
            <w:tcW w:type="dxa" w:w="3213"/>
          </w:tcPr>
          <w:p>
            <w:r/>
            <w:r>
              <w:rPr>
                <w:sz w:val="18"/>
              </w:rPr>
              <w:t>Terminal value share at the 12-month date</w:t>
            </w:r>
          </w:p>
        </w:tc>
        <w:tc>
          <w:tcPr>
            <w:tcW w:type="dxa" w:w="3213"/>
          </w:tcPr>
          <w:p>
            <w:r/>
            <w:r>
              <w:rPr>
                <w:sz w:val="18"/>
              </w:rPr>
              <w:t>83.0% of EV</w:t>
            </w:r>
          </w:p>
        </w:tc>
        <w:tc>
          <w:tcPr>
            <w:tcW w:type="dxa" w:w="3213"/>
          </w:tcPr>
          <w:p>
            <w:r/>
            <w:r>
              <w:rPr>
                <w:sz w:val="18"/>
              </w:rPr>
              <w:t>[calc] TP12m copy, Valuacion_12m B34</w:t>
            </w:r>
          </w:p>
        </w:tc>
      </w:tr>
    </w:tbl>
    <w:p/>
    <w:p>
      <w:r>
        <w:rPr>
          <w:b/>
        </w:rPr>
        <w:t>The question judges will ask:</w:t>
      </w:r>
      <w:r>
        <w:t xml:space="preserve"> "If 2027 puts margins at risk, why does your model keep 15.1%?" Our answer: P3 is about asymmetry, not a forecast. We give Bimbo the record margin as the base, and the evidence around it points down. The V2's FY2027E margin (15.12%) is also below FY2026E excluding restructuring (15.74%, [calc] V2 Assumptions B362), so the base does not assume the 2026 run-rate continues. If restructuring returned at the FY2025 level (0.92% of sales), the FY2027E margin would be about 14.2% [calc]; its effect on value has not been run.</w:t>
      </w:r>
    </w:p>
    <w:p>
      <w:pPr>
        <w:pStyle w:val="Heading1"/>
      </w:pPr>
      <w:r>
        <w:t>Valuation: 12-month target Ps 64.18</w:t>
      </w:r>
    </w:p>
    <w:p>
      <w:r>
        <w:t>The target re-runs the V2 DCF with the valuation date moved to 16-Oct-2027 (method B, team decision 2026-10-28): same cash flows, WACC 9.62%, g 4.40% and terminal RONIC 15.75%; only the date changes.</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Step</w:t>
            </w:r>
          </w:p>
        </w:tc>
        <w:tc>
          <w:tcPr>
            <w:tcW w:type="dxa" w:w="3213"/>
            <w:shd w:val="clear" w:color="auto" w:fill="D9E2F3"/>
          </w:tcPr>
          <w:p>
            <w:r/>
            <w:r>
              <w:rPr>
                <w:b/>
                <w:sz w:val="18"/>
              </w:rPr>
              <w:t>Value</w:t>
            </w:r>
          </w:p>
        </w:tc>
        <w:tc>
          <w:tcPr>
            <w:tcW w:type="dxa" w:w="3213"/>
            <w:shd w:val="clear" w:color="auto" w:fill="D9E2F3"/>
          </w:tcPr>
          <w:p>
            <w:r/>
            <w:r>
              <w:rPr>
                <w:b/>
                <w:sz w:val="18"/>
              </w:rPr>
              <w:t>Tag and source</w:t>
            </w:r>
          </w:p>
        </w:tc>
      </w:tr>
      <w:tr>
        <w:tc>
          <w:tcPr>
            <w:tcW w:type="dxa" w:w="3213"/>
          </w:tcPr>
          <w:p>
            <w:r/>
            <w:r>
              <w:rPr>
                <w:sz w:val="18"/>
              </w:rPr>
              <w:t>PV of FCFF FY2028E–FY2030E at 31-Dec-2027</w:t>
            </w:r>
          </w:p>
        </w:tc>
        <w:tc>
          <w:tcPr>
            <w:tcW w:type="dxa" w:w="3213"/>
          </w:tcPr>
          <w:p>
            <w:r/>
            <w:r>
              <w:rPr>
                <w:sz w:val="18"/>
              </w:rPr>
              <w:t>Ps 80,166m</w:t>
            </w:r>
          </w:p>
        </w:tc>
        <w:tc>
          <w:tcPr>
            <w:tcW w:type="dxa" w:w="3213"/>
          </w:tcPr>
          <w:p>
            <w:r/>
            <w:r>
              <w:rPr>
                <w:sz w:val="18"/>
              </w:rPr>
              <w:t>[calc] TP12m copy, Valuacion_12m B31</w:t>
            </w:r>
          </w:p>
        </w:tc>
      </w:tr>
      <w:tr>
        <w:tc>
          <w:tcPr>
            <w:tcW w:type="dxa" w:w="3213"/>
          </w:tcPr>
          <w:p>
            <w:r/>
            <w:r>
              <w:rPr>
                <w:sz w:val="18"/>
              </w:rPr>
              <w:t>PV of terminal value (Gordon, same formula as V2)</w:t>
            </w:r>
          </w:p>
        </w:tc>
        <w:tc>
          <w:tcPr>
            <w:tcW w:type="dxa" w:w="3213"/>
          </w:tcPr>
          <w:p>
            <w:r/>
            <w:r>
              <w:rPr>
                <w:sz w:val="18"/>
              </w:rPr>
              <w:t>Ps 390,729m</w:t>
            </w:r>
          </w:p>
        </w:tc>
        <w:tc>
          <w:tcPr>
            <w:tcW w:type="dxa" w:w="3213"/>
          </w:tcPr>
          <w:p>
            <w:r/>
            <w:r>
              <w:rPr>
                <w:sz w:val="18"/>
              </w:rPr>
              <w:t>[calc] B32</w:t>
            </w:r>
          </w:p>
        </w:tc>
      </w:tr>
      <w:tr>
        <w:tc>
          <w:tcPr>
            <w:tcW w:type="dxa" w:w="3213"/>
          </w:tcPr>
          <w:p>
            <w:r/>
            <w:r>
              <w:rPr>
                <w:sz w:val="18"/>
              </w:rPr>
              <w:t>Enterprise value at 31-Dec-2027</w:t>
            </w:r>
          </w:p>
        </w:tc>
        <w:tc>
          <w:tcPr>
            <w:tcW w:type="dxa" w:w="3213"/>
          </w:tcPr>
          <w:p>
            <w:r/>
            <w:r>
              <w:rPr>
                <w:sz w:val="18"/>
              </w:rPr>
              <w:t>Ps 470,895m</w:t>
            </w:r>
          </w:p>
        </w:tc>
        <w:tc>
          <w:tcPr>
            <w:tcW w:type="dxa" w:w="3213"/>
          </w:tcPr>
          <w:p>
            <w:r/>
            <w:r>
              <w:rPr>
                <w:sz w:val="18"/>
              </w:rPr>
              <w:t>[calc] B33</w:t>
            </w:r>
          </w:p>
        </w:tc>
      </w:tr>
      <w:tr>
        <w:tc>
          <w:tcPr>
            <w:tcW w:type="dxa" w:w="3213"/>
          </w:tcPr>
          <w:p>
            <w:r/>
            <w:r>
              <w:rPr>
                <w:sz w:val="18"/>
              </w:rPr>
              <w:t>Gross debt, leases, cash at 31-Dec-2027E</w:t>
            </w:r>
          </w:p>
        </w:tc>
        <w:tc>
          <w:tcPr>
            <w:tcW w:type="dxa" w:w="3213"/>
          </w:tcPr>
          <w:p>
            <w:r/>
            <w:r>
              <w:rPr>
                <w:sz w:val="18"/>
              </w:rPr>
              <w:t>−151,250 / −34,790 / +21,812</w:t>
            </w:r>
          </w:p>
        </w:tc>
        <w:tc>
          <w:tcPr>
            <w:tcW w:type="dxa" w:w="3213"/>
          </w:tcPr>
          <w:p>
            <w:r/>
            <w:r>
              <w:rPr>
                <w:sz w:val="18"/>
              </w:rPr>
              <w:t>[calc] B35–B37 (V2 BS column H)</w:t>
            </w:r>
          </w:p>
        </w:tc>
      </w:tr>
      <w:tr>
        <w:tc>
          <w:tcPr>
            <w:tcW w:type="dxa" w:w="3213"/>
          </w:tcPr>
          <w:p>
            <w:r/>
            <w:r>
              <w:rPr>
                <w:sz w:val="18"/>
              </w:rPr>
              <w:t>NCI at market (FY2027E NCI income / ke)</w:t>
            </w:r>
          </w:p>
        </w:tc>
        <w:tc>
          <w:tcPr>
            <w:tcW w:type="dxa" w:w="3213"/>
          </w:tcPr>
          <w:p>
            <w:r/>
            <w:r>
              <w:rPr>
                <w:sz w:val="18"/>
              </w:rPr>
              <w:t>−15,558</w:t>
            </w:r>
          </w:p>
        </w:tc>
        <w:tc>
          <w:tcPr>
            <w:tcW w:type="dxa" w:w="3213"/>
          </w:tcPr>
          <w:p>
            <w:r/>
            <w:r>
              <w:rPr>
                <w:sz w:val="18"/>
              </w:rPr>
              <w:t>[calc] B38</w:t>
            </w:r>
          </w:p>
        </w:tc>
      </w:tr>
      <w:tr>
        <w:tc>
          <w:tcPr>
            <w:tcW w:type="dxa" w:w="3213"/>
          </w:tcPr>
          <w:p>
            <w:r/>
            <w:r>
              <w:rPr>
                <w:sz w:val="18"/>
              </w:rPr>
              <w:t>Other debt-like items, associates (held at 30-Sep-2026, as in V2)</w:t>
            </w:r>
          </w:p>
        </w:tc>
        <w:tc>
          <w:tcPr>
            <w:tcW w:type="dxa" w:w="3213"/>
          </w:tcPr>
          <w:p>
            <w:r/>
            <w:r>
              <w:rPr>
                <w:sz w:val="18"/>
              </w:rPr>
              <w:t>−15,972 / +6,533</w:t>
            </w:r>
          </w:p>
        </w:tc>
        <w:tc>
          <w:tcPr>
            <w:tcW w:type="dxa" w:w="3213"/>
          </w:tcPr>
          <w:p>
            <w:r/>
            <w:r>
              <w:rPr>
                <w:sz w:val="18"/>
              </w:rPr>
              <w:t>[assumption] B39, B40</w:t>
            </w:r>
          </w:p>
        </w:tc>
      </w:tr>
      <w:tr>
        <w:tc>
          <w:tcPr>
            <w:tcW w:type="dxa" w:w="3213"/>
          </w:tcPr>
          <w:p>
            <w:r/>
            <w:r>
              <w:rPr>
                <w:sz w:val="18"/>
              </w:rPr>
              <w:t>Equity value at 31-Dec-2027</w:t>
            </w:r>
          </w:p>
        </w:tc>
        <w:tc>
          <w:tcPr>
            <w:tcW w:type="dxa" w:w="3213"/>
          </w:tcPr>
          <w:p>
            <w:r/>
            <w:r>
              <w:rPr>
                <w:sz w:val="18"/>
              </w:rPr>
              <w:t>Ps 281,670m</w:t>
            </w:r>
          </w:p>
        </w:tc>
        <w:tc>
          <w:tcPr>
            <w:tcW w:type="dxa" w:w="3213"/>
          </w:tcPr>
          <w:p>
            <w:r/>
            <w:r>
              <w:rPr>
                <w:sz w:val="18"/>
              </w:rPr>
              <w:t>[calc] B41</w:t>
            </w:r>
          </w:p>
        </w:tc>
      </w:tr>
      <w:tr>
        <w:tc>
          <w:tcPr>
            <w:tcW w:type="dxa" w:w="3213"/>
          </w:tcPr>
          <w:p>
            <w:r/>
            <w:r>
              <w:rPr>
                <w:sz w:val="18"/>
              </w:rPr>
              <w:t>Discounted 76 days at ke 12.26%, over 4,284.6m shares</w:t>
            </w:r>
          </w:p>
        </w:tc>
        <w:tc>
          <w:tcPr>
            <w:tcW w:type="dxa" w:w="3213"/>
          </w:tcPr>
          <w:p>
            <w:r/>
            <w:r>
              <w:rPr>
                <w:b/>
                <w:sz w:val="18"/>
              </w:rPr>
              <w:t>Ps 64.18 per share</w:t>
            </w:r>
          </w:p>
        </w:tc>
        <w:tc>
          <w:tcPr>
            <w:tcW w:type="dxa" w:w="3213"/>
          </w:tcPr>
          <w:p>
            <w:r/>
            <w:r>
              <w:rPr>
                <w:sz w:val="18"/>
              </w:rPr>
              <w:t>[calc] B44–B49</w:t>
            </w:r>
          </w:p>
        </w:tc>
      </w:tr>
      <w:tr>
        <w:tc>
          <w:tcPr>
            <w:tcW w:type="dxa" w:w="3213"/>
          </w:tcPr>
          <w:p>
            <w:r/>
            <w:r>
              <w:rPr>
                <w:sz w:val="18"/>
              </w:rPr>
              <w:t>Upside in price vs Ps 58.60</w:t>
            </w:r>
          </w:p>
        </w:tc>
        <w:tc>
          <w:tcPr>
            <w:tcW w:type="dxa" w:w="3213"/>
          </w:tcPr>
          <w:p>
            <w:r/>
            <w:r>
              <w:rPr>
                <w:sz w:val="18"/>
              </w:rPr>
              <w:t>+9.5%</w:t>
            </w:r>
          </w:p>
        </w:tc>
        <w:tc>
          <w:tcPr>
            <w:tcW w:type="dxa" w:w="3213"/>
          </w:tcPr>
          <w:p>
            <w:r/>
            <w:r>
              <w:rPr>
                <w:sz w:val="18"/>
              </w:rPr>
              <w:t>[calc] B51</w:t>
            </w:r>
          </w:p>
        </w:tc>
      </w:tr>
      <w:tr>
        <w:tc>
          <w:tcPr>
            <w:tcW w:type="dxa" w:w="3213"/>
          </w:tcPr>
          <w:p>
            <w:r/>
            <w:r>
              <w:rPr>
                <w:sz w:val="18"/>
              </w:rPr>
              <w:t>Dividend in the 12 months (2027E)</w:t>
            </w:r>
          </w:p>
        </w:tc>
        <w:tc>
          <w:tcPr>
            <w:tcW w:type="dxa" w:w="3213"/>
          </w:tcPr>
          <w:p>
            <w:r/>
            <w:r>
              <w:rPr>
                <w:sz w:val="18"/>
              </w:rPr>
              <w:t>Ps 1.117</w:t>
            </w:r>
          </w:p>
        </w:tc>
        <w:tc>
          <w:tcPr>
            <w:tcW w:type="dxa" w:w="3213"/>
          </w:tcPr>
          <w:p>
            <w:r/>
            <w:r>
              <w:rPr>
                <w:sz w:val="18"/>
              </w:rPr>
              <w:t>[assumption] V2 Assumptions B383 (CFO: grow it "slightly above inflation", [guidance] 3Q26 call)</w:t>
            </w:r>
          </w:p>
        </w:tc>
      </w:tr>
      <w:tr>
        <w:tc>
          <w:tcPr>
            <w:tcW w:type="dxa" w:w="3213"/>
          </w:tcPr>
          <w:p>
            <w:r/>
            <w:r>
              <w:rPr>
                <w:sz w:val="18"/>
              </w:rPr>
              <w:t>Expected total return</w:t>
            </w:r>
          </w:p>
        </w:tc>
        <w:tc>
          <w:tcPr>
            <w:tcW w:type="dxa" w:w="3213"/>
          </w:tcPr>
          <w:p>
            <w:r/>
            <w:r>
              <w:rPr>
                <w:sz w:val="18"/>
              </w:rPr>
              <w:t>+11.4%</w:t>
            </w:r>
          </w:p>
        </w:tc>
        <w:tc>
          <w:tcPr>
            <w:tcW w:type="dxa" w:w="3213"/>
          </w:tcPr>
          <w:p>
            <w:r/>
            <w:r>
              <w:rPr>
                <w:sz w:val="18"/>
              </w:rPr>
              <w:t>[calc] B53</w:t>
            </w:r>
          </w:p>
        </w:tc>
      </w:tr>
    </w:tbl>
    <w:p/>
    <w:p>
      <w:r>
        <w:t>Shares are held at the 30-Sep-2026 count, as in the V2 (team decision). The model pays Ps 3,948m of buybacks in 4Q26 and FY2027E without reducing shares; reducing them at fair value would add up to Ps 0.92 per share (TP12m copy B58–B59). For reference, rolling today's value at ke less the dividend (method A) gives Ps 65.35 (B56).</w:t>
      </w:r>
    </w:p>
    <w:p>
      <w:r>
        <w:rPr>
          <w:b/>
        </w:rPr>
        <w:t>HOLD band (team decision 2026-10-28).</w:t>
      </w:r>
      <w:r>
        <w:t xml:space="preserve"> The width comes from the model's own WACC ±0.5 pp sensitivity, not from a chosen percentage. HOLD if the cost of equity lies between the pessimistic and optimistic expected returns; BUY if even the pessimistic return beats ke; SELL if even the optimistic return falls short.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Case</w:t>
            </w:r>
          </w:p>
        </w:tc>
        <w:tc>
          <w:tcPr>
            <w:tcW w:type="dxa" w:w="2409"/>
            <w:shd w:val="clear" w:color="auto" w:fill="D9E2F3"/>
          </w:tcPr>
          <w:p>
            <w:r/>
            <w:r>
              <w:rPr>
                <w:b/>
                <w:sz w:val="18"/>
              </w:rPr>
              <w:t>12-month target</w:t>
            </w:r>
          </w:p>
        </w:tc>
        <w:tc>
          <w:tcPr>
            <w:tcW w:type="dxa" w:w="2409"/>
            <w:shd w:val="clear" w:color="auto" w:fill="D9E2F3"/>
          </w:tcPr>
          <w:p>
            <w:r/>
            <w:r>
              <w:rPr>
                <w:b/>
                <w:sz w:val="18"/>
              </w:rPr>
              <w:t>Expected total return at Ps 58.60</w:t>
            </w:r>
          </w:p>
        </w:tc>
        <w:tc>
          <w:tcPr>
            <w:tcW w:type="dxa" w:w="2409"/>
            <w:shd w:val="clear" w:color="auto" w:fill="D9E2F3"/>
          </w:tcPr>
          <w:p>
            <w:r/>
            <w:r>
              <w:rPr>
                <w:b/>
                <w:sz w:val="18"/>
              </w:rPr>
              <w:t>Tag and source</w:t>
            </w:r>
          </w:p>
        </w:tc>
      </w:tr>
      <w:tr>
        <w:tc>
          <w:tcPr>
            <w:tcW w:type="dxa" w:w="2409"/>
          </w:tcPr>
          <w:p>
            <w:r/>
            <w:r>
              <w:rPr>
                <w:sz w:val="18"/>
              </w:rPr>
              <w:t>Pessimistic (WACC +0.5 pp)</w:t>
            </w:r>
          </w:p>
        </w:tc>
        <w:tc>
          <w:tcPr>
            <w:tcW w:type="dxa" w:w="2409"/>
          </w:tcPr>
          <w:p>
            <w:r/>
            <w:r>
              <w:rPr>
                <w:sz w:val="18"/>
              </w:rPr>
              <w:t>Ps 55.35</w:t>
            </w:r>
          </w:p>
        </w:tc>
        <w:tc>
          <w:tcPr>
            <w:tcW w:type="dxa" w:w="2409"/>
          </w:tcPr>
          <w:p>
            <w:r/>
            <w:r>
              <w:rPr>
                <w:sz w:val="18"/>
              </w:rPr>
              <w:t>−3.6%</w:t>
            </w:r>
          </w:p>
        </w:tc>
        <w:tc>
          <w:tcPr>
            <w:tcW w:type="dxa" w:w="2409"/>
          </w:tcPr>
          <w:p>
            <w:r/>
            <w:r>
              <w:rPr>
                <w:sz w:val="18"/>
              </w:rPr>
              <w:t>[calc] Valuacion_12m B66, C71</w:t>
            </w:r>
          </w:p>
        </w:tc>
      </w:tr>
      <w:tr>
        <w:tc>
          <w:tcPr>
            <w:tcW w:type="dxa" w:w="2409"/>
          </w:tcPr>
          <w:p>
            <w:r/>
            <w:r>
              <w:rPr>
                <w:sz w:val="18"/>
              </w:rPr>
              <w:t>Base</w:t>
            </w:r>
          </w:p>
        </w:tc>
        <w:tc>
          <w:tcPr>
            <w:tcW w:type="dxa" w:w="2409"/>
          </w:tcPr>
          <w:p>
            <w:r/>
            <w:r>
              <w:rPr>
                <w:sz w:val="18"/>
              </w:rPr>
              <w:t>Ps 64.18</w:t>
            </w:r>
          </w:p>
        </w:tc>
        <w:tc>
          <w:tcPr>
            <w:tcW w:type="dxa" w:w="2409"/>
          </w:tcPr>
          <w:p>
            <w:r/>
            <w:r>
              <w:rPr>
                <w:sz w:val="18"/>
              </w:rPr>
              <w:t>+11.4%</w:t>
            </w:r>
          </w:p>
        </w:tc>
        <w:tc>
          <w:tcPr>
            <w:tcW w:type="dxa" w:w="2409"/>
          </w:tcPr>
          <w:p>
            <w:r/>
            <w:r>
              <w:rPr>
                <w:sz w:val="18"/>
              </w:rPr>
              <w:t>[calc] B49, C72</w:t>
            </w:r>
          </w:p>
        </w:tc>
      </w:tr>
      <w:tr>
        <w:tc>
          <w:tcPr>
            <w:tcW w:type="dxa" w:w="2409"/>
          </w:tcPr>
          <w:p>
            <w:r/>
            <w:r>
              <w:rPr>
                <w:sz w:val="18"/>
              </w:rPr>
              <w:t>Optimistic (WACC −0.5 pp)</w:t>
            </w:r>
          </w:p>
        </w:tc>
        <w:tc>
          <w:tcPr>
            <w:tcW w:type="dxa" w:w="2409"/>
          </w:tcPr>
          <w:p>
            <w:r/>
            <w:r>
              <w:rPr>
                <w:sz w:val="18"/>
              </w:rPr>
              <w:t>Ps 74.87</w:t>
            </w:r>
          </w:p>
        </w:tc>
        <w:tc>
          <w:tcPr>
            <w:tcW w:type="dxa" w:w="2409"/>
          </w:tcPr>
          <w:p>
            <w:r/>
            <w:r>
              <w:rPr>
                <w:sz w:val="18"/>
              </w:rPr>
              <w:t>+29.7%</w:t>
            </w:r>
          </w:p>
        </w:tc>
        <w:tc>
          <w:tcPr>
            <w:tcW w:type="dxa" w:w="2409"/>
          </w:tcPr>
          <w:p>
            <w:r/>
            <w:r>
              <w:rPr>
                <w:sz w:val="18"/>
              </w:rPr>
              <w:t>[calc] B65, C73</w:t>
            </w:r>
          </w:p>
        </w:tc>
      </w:tr>
      <w:tr>
        <w:tc>
          <w:tcPr>
            <w:tcW w:type="dxa" w:w="2409"/>
          </w:tcPr>
          <w:p>
            <w:r/>
            <w:r>
              <w:rPr>
                <w:sz w:val="18"/>
              </w:rPr>
              <w:t>Cost of equity</w:t>
            </w:r>
          </w:p>
        </w:tc>
        <w:tc>
          <w:tcPr>
            <w:tcW w:type="dxa" w:w="2409"/>
          </w:tcPr>
          <w:p>
            <w:r/>
            <w:r>
              <w:rPr>
                <w:sz w:val="18"/>
              </w:rPr>
              <w:t>—</w:t>
            </w:r>
          </w:p>
        </w:tc>
        <w:tc>
          <w:tcPr>
            <w:tcW w:type="dxa" w:w="2409"/>
          </w:tcPr>
          <w:p>
            <w:r/>
            <w:r>
              <w:rPr>
                <w:sz w:val="18"/>
              </w:rPr>
              <w:t>12.26%</w:t>
            </w:r>
          </w:p>
        </w:tc>
        <w:tc>
          <w:tcPr>
            <w:tcW w:type="dxa" w:w="2409"/>
          </w:tcPr>
          <w:p>
            <w:r/>
            <w:r>
              <w:rPr>
                <w:sz w:val="18"/>
              </w:rPr>
              <w:t>[calc] V2 WACC_V2 B51</w:t>
            </w:r>
          </w:p>
        </w:tc>
      </w:tr>
      <w:tr>
        <w:tc>
          <w:tcPr>
            <w:tcW w:type="dxa" w:w="2409"/>
          </w:tcPr>
          <w:p>
            <w:r/>
            <w:r>
              <w:rPr>
                <w:b/>
                <w:sz w:val="18"/>
              </w:rPr>
              <w:t>Rating</w:t>
            </w:r>
          </w:p>
        </w:tc>
        <w:tc>
          <w:tcPr>
            <w:tcW w:type="dxa" w:w="2409"/>
          </w:tcPr>
          <w:p>
            <w:r/>
            <w:r>
              <w:rPr>
                <w:sz w:val="18"/>
              </w:rPr>
              <w:t>—</w:t>
            </w:r>
          </w:p>
        </w:tc>
        <w:tc>
          <w:tcPr>
            <w:tcW w:type="dxa" w:w="2409"/>
          </w:tcPr>
          <w:p>
            <w:r/>
            <w:r>
              <w:rPr>
                <w:b/>
                <w:sz w:val="18"/>
              </w:rPr>
              <w:t>HOLD</w:t>
            </w:r>
          </w:p>
        </w:tc>
        <w:tc>
          <w:tcPr>
            <w:tcW w:type="dxa" w:w="2409"/>
          </w:tcPr>
          <w:p>
            <w:r/>
            <w:r>
              <w:rPr>
                <w:sz w:val="18"/>
              </w:rPr>
              <w:t>[calc] C75</w:t>
            </w:r>
          </w:p>
        </w:tc>
      </w:tr>
    </w:tbl>
    <w:p/>
    <w:p>
      <w:pPr>
        <w:pStyle w:val="Heading1"/>
      </w:pPr>
      <w:r>
        <w:t>What would change our view</w:t>
      </w:r>
    </w:p>
    <w:p>
      <w:r>
        <w:t>The price triggers follow from the band rule; the operating triggers come from the earlier drafts and are proposals until the team confirms each threshold.</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Trigger</w:t>
            </w:r>
          </w:p>
        </w:tc>
        <w:tc>
          <w:tcPr>
            <w:tcW w:type="dxa" w:w="2409"/>
            <w:shd w:val="clear" w:color="auto" w:fill="D9E2F3"/>
          </w:tcPr>
          <w:p>
            <w:r/>
            <w:r>
              <w:rPr>
                <w:b/>
                <w:sz w:val="18"/>
              </w:rPr>
              <w:t>Move to SELL</w:t>
            </w:r>
          </w:p>
        </w:tc>
        <w:tc>
          <w:tcPr>
            <w:tcW w:type="dxa" w:w="2409"/>
            <w:shd w:val="clear" w:color="auto" w:fill="D9E2F3"/>
          </w:tcPr>
          <w:p>
            <w:r/>
            <w:r>
              <w:rPr>
                <w:b/>
                <w:sz w:val="18"/>
              </w:rPr>
              <w:t>Move to BUY</w:t>
            </w:r>
          </w:p>
        </w:tc>
        <w:tc>
          <w:tcPr>
            <w:tcW w:type="dxa" w:w="2409"/>
            <w:shd w:val="clear" w:color="auto" w:fill="D9E2F3"/>
          </w:tcPr>
          <w:p>
            <w:r/>
            <w:r>
              <w:rPr>
                <w:b/>
                <w:sz w:val="18"/>
              </w:rPr>
              <w:t>Tag and source</w:t>
            </w:r>
          </w:p>
        </w:tc>
      </w:tr>
      <w:tr>
        <w:tc>
          <w:tcPr>
            <w:tcW w:type="dxa" w:w="2409"/>
          </w:tcPr>
          <w:p>
            <w:r/>
            <w:r>
              <w:rPr>
                <w:sz w:val="18"/>
              </w:rPr>
              <w:t>Share price, fundamentals unchanged</w:t>
            </w:r>
          </w:p>
        </w:tc>
        <w:tc>
          <w:tcPr>
            <w:tcW w:type="dxa" w:w="2409"/>
          </w:tcPr>
          <w:p>
            <w:r/>
            <w:r>
              <w:rPr>
                <w:sz w:val="18"/>
              </w:rPr>
              <w:t>Above Ps 67.69</w:t>
            </w:r>
          </w:p>
        </w:tc>
        <w:tc>
          <w:tcPr>
            <w:tcW w:type="dxa" w:w="2409"/>
          </w:tcPr>
          <w:p>
            <w:r/>
            <w:r>
              <w:rPr>
                <w:sz w:val="18"/>
              </w:rPr>
              <w:t>Below Ps 50.30</w:t>
            </w:r>
          </w:p>
        </w:tc>
        <w:tc>
          <w:tcPr>
            <w:tcW w:type="dxa" w:w="2409"/>
          </w:tcPr>
          <w:p>
            <w:r/>
            <w:r>
              <w:rPr>
                <w:sz w:val="18"/>
              </w:rPr>
              <w:t>[calc] TP12m copy, Valuacion_12m C76, C77</w:t>
            </w:r>
          </w:p>
        </w:tc>
      </w:tr>
      <w:tr>
        <w:tc>
          <w:tcPr>
            <w:tcW w:type="dxa" w:w="2409"/>
          </w:tcPr>
          <w:p>
            <w:r/>
            <w:r>
              <w:rPr>
                <w:sz w:val="18"/>
              </w:rPr>
              <w:t>FY2027 margin guidance (4Q26 call, expected February 2027)</w:t>
            </w:r>
          </w:p>
        </w:tc>
        <w:tc>
          <w:tcPr>
            <w:tcW w:type="dxa" w:w="2409"/>
          </w:tcPr>
          <w:p>
            <w:r/>
            <w:r>
              <w:rPr>
                <w:sz w:val="18"/>
              </w:rPr>
              <w:t>Margin expected below the model's 15.12% with negative NA volume</w:t>
            </w:r>
          </w:p>
        </w:tc>
        <w:tc>
          <w:tcPr>
            <w:tcW w:type="dxa" w:w="2409"/>
          </w:tcPr>
          <w:p>
            <w:r/>
            <w:r>
              <w:rPr>
                <w:sz w:val="18"/>
              </w:rPr>
              <w:t>Margin expected above 15.12% with productivity quantified</w:t>
            </w:r>
          </w:p>
        </w:tc>
        <w:tc>
          <w:tcPr>
            <w:tcW w:type="dxa" w:w="2409"/>
          </w:tcPr>
          <w:p>
            <w:r/>
            <w:r>
              <w:rPr>
                <w:sz w:val="18"/>
              </w:rPr>
              <w:t>[assumption] proposal; model margin from V2 IS H39 / H6</w:t>
            </w:r>
          </w:p>
        </w:tc>
      </w:tr>
      <w:tr>
        <w:tc>
          <w:tcPr>
            <w:tcW w:type="dxa" w:w="2409"/>
          </w:tcPr>
          <w:p>
            <w:r/>
            <w:r>
              <w:rPr>
                <w:sz w:val="18"/>
              </w:rPr>
              <w:t>NA adjusted EBITDA margin</w:t>
            </w:r>
          </w:p>
        </w:tc>
        <w:tc>
          <w:tcPr>
            <w:tcW w:type="dxa" w:w="2409"/>
          </w:tcPr>
          <w:p>
            <w:r/>
            <w:r>
              <w:rPr>
                <w:sz w:val="18"/>
              </w:rPr>
              <w:t>Below 9% for two consecutive quarters</w:t>
            </w:r>
          </w:p>
        </w:tc>
        <w:tc>
          <w:tcPr>
            <w:tcW w:type="dxa" w:w="2409"/>
          </w:tcPr>
          <w:p>
            <w:r/>
            <w:r>
              <w:rPr>
                <w:sz w:val="18"/>
              </w:rPr>
              <w:t>Sustained at 11% or more with positive NA net sales ex-FX</w:t>
            </w:r>
          </w:p>
        </w:tc>
        <w:tc>
          <w:tcPr>
            <w:tcW w:type="dxa" w:w="2409"/>
          </w:tcPr>
          <w:p>
            <w:r/>
            <w:r>
              <w:rPr>
                <w:sz w:val="18"/>
              </w:rPr>
              <w:t>[assumption] thresholds from the CEO HOLD draft; team to confirm</w:t>
            </w:r>
          </w:p>
        </w:tc>
      </w:tr>
      <w:tr>
        <w:tc>
          <w:tcPr>
            <w:tcW w:type="dxa" w:w="2409"/>
          </w:tcPr>
          <w:p>
            <w:r/>
            <w:r>
              <w:rPr>
                <w:sz w:val="18"/>
              </w:rPr>
              <w:t>Consolidated adjusted EBITDA margin</w:t>
            </w:r>
          </w:p>
        </w:tc>
        <w:tc>
          <w:tcPr>
            <w:tcW w:type="dxa" w:w="2409"/>
          </w:tcPr>
          <w:p>
            <w:r/>
            <w:r>
              <w:rPr>
                <w:sz w:val="18"/>
              </w:rPr>
              <w:t>—</w:t>
            </w:r>
          </w:p>
        </w:tc>
        <w:tc>
          <w:tcPr>
            <w:tcW w:type="dxa" w:w="2409"/>
          </w:tcPr>
          <w:p>
            <w:r/>
            <w:r>
              <w:rPr>
                <w:sz w:val="18"/>
              </w:rPr>
              <w:t>Above 15.5% for three quarters with growing NA volume</w:t>
            </w:r>
          </w:p>
        </w:tc>
        <w:tc>
          <w:tcPr>
            <w:tcW w:type="dxa" w:w="2409"/>
          </w:tcPr>
          <w:p>
            <w:r/>
            <w:r>
              <w:rPr>
                <w:sz w:val="18"/>
              </w:rPr>
              <w:t>[assumption] threshold from the CEO HOLD draft; team to confirm</w:t>
            </w:r>
          </w:p>
        </w:tc>
      </w:tr>
      <w:tr>
        <w:tc>
          <w:tcPr>
            <w:tcW w:type="dxa" w:w="2409"/>
          </w:tcPr>
          <w:p>
            <w:r/>
            <w:r>
              <w:rPr>
                <w:sz w:val="18"/>
              </w:rPr>
              <w:t>Restructuring</w:t>
            </w:r>
          </w:p>
        </w:tc>
        <w:tc>
          <w:tcPr>
            <w:tcW w:type="dxa" w:w="2409"/>
          </w:tcPr>
          <w:p>
            <w:r/>
            <w:r>
              <w:rPr>
                <w:sz w:val="18"/>
              </w:rPr>
              <w:t>Returns at or above the FY2025 level (0.92% of sales)</w:t>
            </w:r>
          </w:p>
        </w:tc>
        <w:tc>
          <w:tcPr>
            <w:tcW w:type="dxa" w:w="2409"/>
          </w:tcPr>
          <w:p>
            <w:r/>
            <w:r>
              <w:rPr>
                <w:sz w:val="18"/>
              </w:rPr>
              <w:t>—</w:t>
            </w:r>
          </w:p>
        </w:tc>
        <w:tc>
          <w:tcPr>
            <w:tcW w:type="dxa" w:w="2409"/>
          </w:tcPr>
          <w:p>
            <w:r/>
            <w:r>
              <w:rPr>
                <w:sz w:val="18"/>
              </w:rPr>
              <w:t>[assumption] proposal; FY2025 level from V2 Assumptions B316</w:t>
            </w:r>
          </w:p>
        </w:tc>
      </w:tr>
    </w:tbl>
    <w:p/>
    <w:p>
      <w:r>
        <w:t>Context, not part of the rating: the share traded at Ps 62.69 intraday on 23-Oct-2026 [unverified] (press, cited in the US HOLD draft) and around Ps 64.70 on 27-Oct-2026 [unverified]. Both are inside the HOLD band, closer to the SELL trigger than to the BUY trigger.</w:t>
      </w:r>
    </w:p>
    <w:p>
      <w:pPr>
        <w:pStyle w:val="Heading1"/>
      </w:pPr>
      <w:r>
        <w:t>Risks moved out of the pillars</w:t>
      </w:r>
    </w:p>
    <w:p>
      <w:r>
        <w:t>Five arguments from the earlier drafts move to the risks section; each needs its numbers re-sourced before it enters the report.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Risk</w:t>
            </w:r>
          </w:p>
        </w:tc>
        <w:tc>
          <w:tcPr>
            <w:tcW w:type="dxa" w:w="2409"/>
            <w:shd w:val="clear" w:color="auto" w:fill="D9E2F3"/>
          </w:tcPr>
          <w:p>
            <w:r/>
            <w:r>
              <w:rPr>
                <w:b/>
                <w:sz w:val="18"/>
              </w:rPr>
              <w:t>From</w:t>
            </w:r>
          </w:p>
        </w:tc>
        <w:tc>
          <w:tcPr>
            <w:tcW w:type="dxa" w:w="2409"/>
            <w:shd w:val="clear" w:color="auto" w:fill="D9E2F3"/>
          </w:tcPr>
          <w:p>
            <w:r/>
            <w:r>
              <w:rPr>
                <w:b/>
                <w:sz w:val="18"/>
              </w:rPr>
              <w:t>Direction</w:t>
            </w:r>
          </w:p>
        </w:tc>
        <w:tc>
          <w:tcPr>
            <w:tcW w:type="dxa" w:w="2409"/>
            <w:shd w:val="clear" w:color="auto" w:fill="D9E2F3"/>
          </w:tcPr>
          <w:p>
            <w:r/>
            <w:r>
              <w:rPr>
                <w:b/>
                <w:sz w:val="18"/>
              </w:rPr>
              <w:t>What is still needed</w:t>
            </w:r>
          </w:p>
        </w:tc>
      </w:tr>
      <w:tr>
        <w:tc>
          <w:tcPr>
            <w:tcW w:type="dxa" w:w="2409"/>
          </w:tcPr>
          <w:p>
            <w:r/>
            <w:r>
              <w:rPr>
                <w:sz w:val="18"/>
              </w:rPr>
              <w:t>Restructuring recurs ("borrowed margin")</w:t>
            </w:r>
          </w:p>
        </w:tc>
        <w:tc>
          <w:tcPr>
            <w:tcW w:type="dxa" w:w="2409"/>
          </w:tcPr>
          <w:p>
            <w:r/>
            <w:r>
              <w:rPr>
                <w:sz w:val="18"/>
              </w:rPr>
              <w:t>Draft v3, pillar 2</w:t>
            </w:r>
          </w:p>
        </w:tc>
        <w:tc>
          <w:tcPr>
            <w:tcW w:type="dxa" w:w="2409"/>
          </w:tcPr>
          <w:p>
            <w:r/>
            <w:r>
              <w:rPr>
                <w:sz w:val="18"/>
              </w:rPr>
              <w:t>Down</w:t>
            </w:r>
          </w:p>
        </w:tc>
        <w:tc>
          <w:tcPr>
            <w:tcW w:type="dxa" w:w="2409"/>
          </w:tcPr>
          <w:p>
            <w:r/>
            <w:r>
              <w:rPr>
                <w:sz w:val="18"/>
              </w:rPr>
              <w:t>Already partly sourced: Ps 3,908m in FY2025 and zero in the model from FY2027E (V2 Assumptions B316, B347); lower restructuring is a named driver of the 3Q26 NA margin (3Q26 release p.5). Run its effect on value in a copy</w:t>
            </w:r>
          </w:p>
        </w:tc>
      </w:tr>
      <w:tr>
        <w:tc>
          <w:tcPr>
            <w:tcW w:type="dxa" w:w="2409"/>
          </w:tcPr>
          <w:p>
            <w:r/>
            <w:r>
              <w:rPr>
                <w:sz w:val="18"/>
              </w:rPr>
              <w:t>Acquisitions earn below their cost of capital</w:t>
            </w:r>
          </w:p>
        </w:tc>
        <w:tc>
          <w:tcPr>
            <w:tcW w:type="dxa" w:w="2409"/>
          </w:tcPr>
          <w:p>
            <w:r/>
            <w:r>
              <w:rPr>
                <w:sz w:val="18"/>
              </w:rPr>
              <w:t>Draft v3, pillar 1</w:t>
            </w:r>
          </w:p>
        </w:tc>
        <w:tc>
          <w:tcPr>
            <w:tcW w:type="dxa" w:w="2409"/>
          </w:tcPr>
          <w:p>
            <w:r/>
            <w:r>
              <w:rPr>
                <w:sz w:val="18"/>
              </w:rPr>
              <w:t>Down</w:t>
            </w:r>
          </w:p>
        </w:tc>
        <w:tc>
          <w:tcPr>
            <w:tcW w:type="dxa" w:w="2409"/>
          </w:tcPr>
          <w:p>
            <w:r/>
            <w:r>
              <w:rPr>
                <w:sz w:val="18"/>
              </w:rPr>
              <w:t>Deal count, spend and ROIC with goodwill are [unverified]; recompute from filings</w:t>
            </w:r>
          </w:p>
        </w:tc>
      </w:tr>
      <w:tr>
        <w:tc>
          <w:tcPr>
            <w:tcW w:type="dxa" w:w="2409"/>
          </w:tcPr>
          <w:p>
            <w:r/>
            <w:r>
              <w:rPr>
                <w:sz w:val="18"/>
              </w:rPr>
              <w:t>US pricing power</w:t>
            </w:r>
          </w:p>
        </w:tc>
        <w:tc>
          <w:tcPr>
            <w:tcW w:type="dxa" w:w="2409"/>
          </w:tcPr>
          <w:p>
            <w:r/>
            <w:r>
              <w:rPr>
                <w:sz w:val="18"/>
              </w:rPr>
              <w:t>Draft v3, pillar 3 vs US HOLD draft, N1</w:t>
            </w:r>
          </w:p>
        </w:tc>
        <w:tc>
          <w:tcPr>
            <w:tcW w:type="dxa" w:w="2409"/>
          </w:tcPr>
          <w:p>
            <w:r/>
            <w:r>
              <w:rPr>
                <w:sz w:val="18"/>
              </w:rPr>
              <w:t>Both ways</w:t>
            </w:r>
          </w:p>
        </w:tc>
        <w:tc>
          <w:tcPr>
            <w:tcW w:type="dxa" w:w="2409"/>
          </w:tcPr>
          <w:p>
            <w:r/>
            <w:r>
              <w:rPr>
                <w:sz w:val="18"/>
              </w:rPr>
              <w:t>The two drafts contradict each other; the elasticity data come from secondary press and are [unverified]. Keep one view once checked</w:t>
            </w:r>
          </w:p>
        </w:tc>
      </w:tr>
      <w:tr>
        <w:tc>
          <w:tcPr>
            <w:tcW w:type="dxa" w:w="2409"/>
          </w:tcPr>
          <w:p>
            <w:r/>
            <w:r>
              <w:rPr>
                <w:sz w:val="18"/>
              </w:rPr>
              <w:t>Peso</w:t>
            </w:r>
          </w:p>
        </w:tc>
        <w:tc>
          <w:tcPr>
            <w:tcW w:type="dxa" w:w="2409"/>
          </w:tcPr>
          <w:p>
            <w:r/>
            <w:r>
              <w:rPr>
                <w:sz w:val="18"/>
              </w:rPr>
              <w:t>US HOLD draft, B6; 3Q26 call</w:t>
            </w:r>
          </w:p>
        </w:tc>
        <w:tc>
          <w:tcPr>
            <w:tcW w:type="dxa" w:w="2409"/>
          </w:tcPr>
          <w:p>
            <w:r/>
            <w:r>
              <w:rPr>
                <w:sz w:val="18"/>
              </w:rPr>
              <w:t>Both ways</w:t>
            </w:r>
          </w:p>
        </w:tc>
        <w:tc>
          <w:tcPr>
            <w:tcW w:type="dxa" w:w="2409"/>
          </w:tcPr>
          <w:p>
            <w:r/>
            <w:r>
              <w:rPr>
                <w:sz w:val="18"/>
              </w:rPr>
              <w:t>A strong peso cut NA sales in pesos (−6.8% in 3Q26, 3Q26 release p.3); the CFO expects some FX pressure for Mexico in 2027 [guidance]</w:t>
            </w:r>
          </w:p>
        </w:tc>
      </w:tr>
      <w:tr>
        <w:tc>
          <w:tcPr>
            <w:tcW w:type="dxa" w:w="2409"/>
          </w:tcPr>
          <w:p>
            <w:r/>
            <w:r>
              <w:rPr>
                <w:sz w:val="18"/>
              </w:rPr>
              <w:t>Governance: Executive Chairman influence</w:t>
            </w:r>
          </w:p>
        </w:tc>
        <w:tc>
          <w:tcPr>
            <w:tcW w:type="dxa" w:w="2409"/>
          </w:tcPr>
          <w:p>
            <w:r/>
            <w:r>
              <w:rPr>
                <w:sz w:val="18"/>
              </w:rPr>
              <w:t>CEO HOLD draft</w:t>
            </w:r>
          </w:p>
        </w:tc>
        <w:tc>
          <w:tcPr>
            <w:tcW w:type="dxa" w:w="2409"/>
          </w:tcPr>
          <w:p>
            <w:r/>
            <w:r>
              <w:rPr>
                <w:sz w:val="18"/>
              </w:rPr>
              <w:t>Down</w:t>
            </w:r>
          </w:p>
        </w:tc>
        <w:tc>
          <w:tcPr>
            <w:tcW w:type="dxa" w:w="2409"/>
          </w:tcPr>
          <w:p>
            <w:r/>
            <w:r>
              <w:rPr>
                <w:sz w:val="18"/>
              </w:rPr>
              <w:t xml:space="preserve">The company flags the Executive Chairman as able to influence management [sourced] RA25 p.76–77, p.182, via wiki </w:t>
            </w:r>
            <w:r>
              <w:rPr>
                <w:rFonts w:ascii="Consolas" w:hAnsi="Consolas"/>
                <w:sz w:val="18"/>
              </w:rPr>
              <w:t>bimbo-governance-and-ownership</w:t>
            </w:r>
          </w:p>
        </w:tc>
      </w:tr>
    </w:tbl>
    <w:p/>
    <w:p>
      <w:pPr>
        <w:pStyle w:val="Heading1"/>
      </w:pPr>
      <w:r>
        <w:t>Mechanical corrections versus team decisions</w:t>
      </w:r>
    </w:p>
    <w:p>
      <w:r>
        <w:t>The corrections below fix figures the drafts got wrong; the decisions below are the team's and set this version.</w:t>
      </w:r>
    </w:p>
    <w:p>
      <w:r>
        <w:rPr>
          <w:b/>
        </w:rPr>
        <w:t>Mechanical corrections (applied in this version):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D9E2F3"/>
          </w:tcPr>
          <w:p>
            <w:r/>
            <w:r>
              <w:rPr>
                <w:b/>
                <w:sz w:val="18"/>
              </w:rPr>
              <w:t>Draft</w:t>
            </w:r>
          </w:p>
        </w:tc>
        <w:tc>
          <w:tcPr>
            <w:tcW w:type="dxa" w:w="2409"/>
            <w:shd w:val="clear" w:color="auto" w:fill="D9E2F3"/>
          </w:tcPr>
          <w:p>
            <w:r/>
            <w:r>
              <w:rPr>
                <w:b/>
                <w:sz w:val="18"/>
              </w:rPr>
              <w:t>Said</w:t>
            </w:r>
          </w:p>
        </w:tc>
        <w:tc>
          <w:tcPr>
            <w:tcW w:type="dxa" w:w="2409"/>
            <w:shd w:val="clear" w:color="auto" w:fill="D9E2F3"/>
          </w:tcPr>
          <w:p>
            <w:r/>
            <w:r>
              <w:rPr>
                <w:b/>
                <w:sz w:val="18"/>
              </w:rPr>
              <w:t>Correct</w:t>
            </w:r>
          </w:p>
        </w:tc>
        <w:tc>
          <w:tcPr>
            <w:tcW w:type="dxa" w:w="2409"/>
            <w:shd w:val="clear" w:color="auto" w:fill="D9E2F3"/>
          </w:tcPr>
          <w:p>
            <w:r/>
            <w:r>
              <w:rPr>
                <w:b/>
                <w:sz w:val="18"/>
              </w:rPr>
              <w:t>Source</w:t>
            </w:r>
          </w:p>
        </w:tc>
      </w:tr>
      <w:tr>
        <w:tc>
          <w:tcPr>
            <w:tcW w:type="dxa" w:w="2409"/>
          </w:tcPr>
          <w:p>
            <w:r/>
            <w:r>
              <w:rPr>
                <w:sz w:val="18"/>
              </w:rPr>
              <w:t>CEO HOLD</w:t>
            </w:r>
          </w:p>
        </w:tc>
        <w:tc>
          <w:tcPr>
            <w:tcW w:type="dxa" w:w="2409"/>
          </w:tcPr>
          <w:p>
            <w:r/>
            <w:r>
              <w:rPr>
                <w:sz w:val="18"/>
              </w:rPr>
              <w:t>Buybacks of Ps 6bn in 9M26</w:t>
            </w:r>
          </w:p>
        </w:tc>
        <w:tc>
          <w:tcPr>
            <w:tcW w:type="dxa" w:w="2409"/>
          </w:tcPr>
          <w:p>
            <w:r/>
            <w:r>
              <w:rPr>
                <w:sz w:val="18"/>
              </w:rPr>
              <w:t>Ps 6,000m is dividends plus buybacks; buybacks 9M26 Ps 1,372m, FY2026E Ps 2,572m</w:t>
            </w:r>
          </w:p>
        </w:tc>
        <w:tc>
          <w:tcPr>
            <w:tcW w:type="dxa" w:w="2409"/>
          </w:tcPr>
          <w:p>
            <w:r/>
            <w:r>
              <w:rPr>
                <w:sz w:val="18"/>
              </w:rPr>
              <w:t>V2 Assumptions B101 ([guidance] CFO, approximate), B99, B103</w:t>
            </w:r>
          </w:p>
        </w:tc>
      </w:tr>
      <w:tr>
        <w:tc>
          <w:tcPr>
            <w:tcW w:type="dxa" w:w="2409"/>
          </w:tcPr>
          <w:p>
            <w:r/>
            <w:r>
              <w:rPr>
                <w:sz w:val="18"/>
              </w:rPr>
              <w:t>v3</w:t>
            </w:r>
          </w:p>
        </w:tc>
        <w:tc>
          <w:tcPr>
            <w:tcW w:type="dxa" w:w="2409"/>
          </w:tcPr>
          <w:p>
            <w:r/>
            <w:r>
              <w:rPr>
                <w:sz w:val="18"/>
              </w:rPr>
              <w:t>V2 model as is: 59.4</w:t>
            </w:r>
          </w:p>
        </w:tc>
        <w:tc>
          <w:tcPr>
            <w:tcW w:type="dxa" w:w="2409"/>
          </w:tcPr>
          <w:p>
            <w:r/>
            <w:r>
              <w:rPr>
                <w:sz w:val="18"/>
              </w:rPr>
              <w:t>59.21</w:t>
            </w:r>
          </w:p>
        </w:tc>
        <w:tc>
          <w:tcPr>
            <w:tcW w:type="dxa" w:w="2409"/>
          </w:tcPr>
          <w:p>
            <w:r/>
            <w:r>
              <w:rPr>
                <w:sz w:val="18"/>
              </w:rPr>
              <w:t>V2 Valuacion B59</w:t>
            </w:r>
          </w:p>
        </w:tc>
      </w:tr>
      <w:tr>
        <w:tc>
          <w:tcPr>
            <w:tcW w:type="dxa" w:w="2409"/>
          </w:tcPr>
          <w:p>
            <w:r/>
            <w:r>
              <w:rPr>
                <w:sz w:val="18"/>
              </w:rPr>
              <w:t>CEO HOLD, US HOLD</w:t>
            </w:r>
          </w:p>
        </w:tc>
        <w:tc>
          <w:tcPr>
            <w:tcW w:type="dxa" w:w="2409"/>
          </w:tcPr>
          <w:p>
            <w:r/>
            <w:r>
              <w:rPr>
                <w:sz w:val="18"/>
              </w:rPr>
              <w:t>NA margin 3Q26 of 9.8% or 10.9%</w:t>
            </w:r>
          </w:p>
        </w:tc>
        <w:tc>
          <w:tcPr>
            <w:tcW w:type="dxa" w:w="2409"/>
          </w:tcPr>
          <w:p>
            <w:r/>
            <w:r>
              <w:rPr>
                <w:sz w:val="18"/>
              </w:rPr>
              <w:t>10.8%; 9.8% is the consolidated operating margin</w:t>
            </w:r>
          </w:p>
        </w:tc>
        <w:tc>
          <w:tcPr>
            <w:tcW w:type="dxa" w:w="2409"/>
          </w:tcPr>
          <w:p>
            <w:r/>
            <w:r>
              <w:rPr>
                <w:sz w:val="18"/>
              </w:rPr>
              <w:t>3Q26 release p.2, p.5</w:t>
            </w:r>
          </w:p>
        </w:tc>
      </w:tr>
      <w:tr>
        <w:tc>
          <w:tcPr>
            <w:tcW w:type="dxa" w:w="2409"/>
          </w:tcPr>
          <w:p>
            <w:r/>
            <w:r>
              <w:rPr>
                <w:sz w:val="18"/>
              </w:rPr>
              <w:t>All</w:t>
            </w:r>
          </w:p>
        </w:tc>
        <w:tc>
          <w:tcPr>
            <w:tcW w:type="dxa" w:w="2409"/>
          </w:tcPr>
          <w:p>
            <w:r/>
            <w:r>
              <w:rPr>
                <w:sz w:val="18"/>
              </w:rPr>
              <w:t>Mexico share of EBITDA 53%, 55%, 55.4%</w:t>
            </w:r>
          </w:p>
        </w:tc>
        <w:tc>
          <w:tcPr>
            <w:tcW w:type="dxa" w:w="2409"/>
          </w:tcPr>
          <w:p>
            <w:r/>
            <w:r>
              <w:rPr>
                <w:sz w:val="18"/>
              </w:rPr>
              <w:t>54.4% of the sum of regions, used throughout</w:t>
            </w:r>
          </w:p>
        </w:tc>
        <w:tc>
          <w:tcPr>
            <w:tcW w:type="dxa" w:w="2409"/>
          </w:tcPr>
          <w:p>
            <w:r/>
            <w:r>
              <w:rPr>
                <w:sz w:val="18"/>
              </w:rPr>
              <w:t>V2 Segments F53 / (F58 − F57)</w:t>
            </w:r>
          </w:p>
        </w:tc>
      </w:tr>
      <w:tr>
        <w:tc>
          <w:tcPr>
            <w:tcW w:type="dxa" w:w="2409"/>
          </w:tcPr>
          <w:p>
            <w:r/>
            <w:r>
              <w:rPr>
                <w:sz w:val="18"/>
              </w:rPr>
              <w:t>All</w:t>
            </w:r>
          </w:p>
        </w:tc>
        <w:tc>
          <w:tcPr>
            <w:tcW w:type="dxa" w:w="2409"/>
          </w:tcPr>
          <w:p>
            <w:r/>
            <w:r>
              <w:rPr>
                <w:sz w:val="18"/>
              </w:rPr>
              <w:t>Upside against 64.70, 64.85 or 62.69</w:t>
            </w:r>
          </w:p>
        </w:tc>
        <w:tc>
          <w:tcPr>
            <w:tcW w:type="dxa" w:w="2409"/>
          </w:tcPr>
          <w:p>
            <w:r/>
            <w:r>
              <w:rPr>
                <w:sz w:val="18"/>
              </w:rPr>
              <w:t>Against Ps 58.60 only</w:t>
            </w:r>
          </w:p>
        </w:tc>
        <w:tc>
          <w:tcPr>
            <w:tcW w:type="dxa" w:w="2409"/>
          </w:tcPr>
          <w:p>
            <w:r/>
            <w:r>
              <w:rPr>
                <w:sz w:val="18"/>
              </w:rPr>
              <w:t>V2 Assumptions B632</w:t>
            </w:r>
          </w:p>
        </w:tc>
      </w:tr>
      <w:tr>
        <w:tc>
          <w:tcPr>
            <w:tcW w:type="dxa" w:w="2409"/>
          </w:tcPr>
          <w:p>
            <w:r/>
            <w:r>
              <w:rPr>
                <w:sz w:val="18"/>
              </w:rPr>
              <w:t>v3, CEO HOLD</w:t>
            </w:r>
          </w:p>
        </w:tc>
        <w:tc>
          <w:tcPr>
            <w:tcW w:type="dxa" w:w="2409"/>
          </w:tcPr>
          <w:p>
            <w:r/>
            <w:r>
              <w:rPr>
                <w:sz w:val="18"/>
              </w:rPr>
              <w:t>Citations to research/thesis-v3-2026-10-27.md, research/notes/pillar2-margin-peak-2026-10-27.md, Perfil-CEO-Grupo-Bimbo-Rodriguez-Bas.docx</w:t>
            </w:r>
          </w:p>
        </w:tc>
        <w:tc>
          <w:tcPr>
            <w:tcW w:type="dxa" w:w="2409"/>
          </w:tcPr>
          <w:p>
            <w:r/>
            <w:r>
              <w:rPr>
                <w:sz w:val="18"/>
              </w:rPr>
              <w:t>Removed; the files do not exist</w:t>
            </w:r>
          </w:p>
        </w:tc>
        <w:tc>
          <w:tcPr>
            <w:tcW w:type="dxa" w:w="2409"/>
          </w:tcPr>
          <w:p>
            <w:r/>
            <w:r>
              <w:rPr>
                <w:sz w:val="18"/>
              </w:rPr>
              <w:t>—</w:t>
            </w:r>
          </w:p>
        </w:tc>
      </w:tr>
      <w:tr>
        <w:tc>
          <w:tcPr>
            <w:tcW w:type="dxa" w:w="2409"/>
          </w:tcPr>
          <w:p>
            <w:r/>
            <w:r>
              <w:rPr>
                <w:sz w:val="18"/>
              </w:rPr>
              <w:t>US HOLD</w:t>
            </w:r>
          </w:p>
        </w:tc>
        <w:tc>
          <w:tcPr>
            <w:tcW w:type="dxa" w:w="2409"/>
          </w:tcPr>
          <w:p>
            <w:r/>
            <w:r>
              <w:rPr>
                <w:sz w:val="18"/>
              </w:rPr>
              <w:t>Valuation on an exit multiple in another model</w:t>
            </w:r>
          </w:p>
        </w:tc>
        <w:tc>
          <w:tcPr>
            <w:tcW w:type="dxa" w:w="2409"/>
          </w:tcPr>
          <w:p>
            <w:r/>
            <w:r>
              <w:rPr>
                <w:sz w:val="18"/>
              </w:rPr>
              <w:t>Removed; the team DCF is Gordon-only on the V2</w:t>
            </w:r>
          </w:p>
        </w:tc>
        <w:tc>
          <w:tcPr>
            <w:tcW w:type="dxa" w:w="2409"/>
          </w:tcPr>
          <w:p>
            <w:r/>
            <w:r>
              <w:rPr>
                <w:sz w:val="18"/>
              </w:rPr>
              <w:t>Team decision 2026-10-27</w:t>
            </w:r>
          </w:p>
        </w:tc>
      </w:tr>
    </w:tbl>
    <w:p/>
    <w:p>
      <w:r>
        <w:rPr>
          <w:b/>
        </w:rPr>
        <w:t>Team decisions (Jorge Alejandro Gaytan, 2026-10-28):</w:t>
      </w:r>
    </w:p>
    <w:tbl>
      <w:tblPr>
        <w:tblStyle w:val="TableGrid"/>
        <w:tblW w:type="auto" w:w="0"/>
        <w:tblLook w:firstColumn="1" w:firstRow="1" w:lastColumn="0" w:lastRow="0" w:noHBand="0" w:noVBand="1" w:val="04A0"/>
      </w:tblPr>
      <w:tblGrid>
        <w:gridCol w:w="4819"/>
        <w:gridCol w:w="4819"/>
      </w:tblGrid>
      <w:tr>
        <w:tc>
          <w:tcPr>
            <w:tcW w:type="dxa" w:w="4819"/>
            <w:shd w:val="clear" w:color="auto" w:fill="D9E2F3"/>
          </w:tcPr>
          <w:p>
            <w:r/>
            <w:r>
              <w:rPr>
                <w:b/>
                <w:sz w:val="18"/>
              </w:rPr>
              <w:t>Decision</w:t>
            </w:r>
          </w:p>
        </w:tc>
        <w:tc>
          <w:tcPr>
            <w:tcW w:type="dxa" w:w="4819"/>
            <w:shd w:val="clear" w:color="auto" w:fill="D9E2F3"/>
          </w:tcPr>
          <w:p>
            <w:r/>
            <w:r>
              <w:rPr>
                <w:b/>
                <w:sz w:val="18"/>
              </w:rPr>
              <w:t>Choice</w:t>
            </w:r>
          </w:p>
        </w:tc>
      </w:tr>
      <w:tr>
        <w:tc>
          <w:tcPr>
            <w:tcW w:type="dxa" w:w="4819"/>
          </w:tcPr>
          <w:p>
            <w:r/>
            <w:r>
              <w:rPr>
                <w:sz w:val="18"/>
              </w:rPr>
              <w:t>Model of record</w:t>
            </w:r>
          </w:p>
        </w:tc>
        <w:tc>
          <w:tcPr>
            <w:tcW w:type="dxa" w:w="4819"/>
          </w:tcPr>
          <w:p>
            <w:r/>
            <w:r>
              <w:rPr>
                <w:sz w:val="18"/>
              </w:rPr>
              <w:t>V2, DCF Ps 59.21 (Valuacion B59); not edited, tests in copies</w:t>
            </w:r>
          </w:p>
        </w:tc>
      </w:tr>
      <w:tr>
        <w:tc>
          <w:tcPr>
            <w:tcW w:type="dxa" w:w="4819"/>
          </w:tcPr>
          <w:p>
            <w:r/>
            <w:r>
              <w:rPr>
                <w:sz w:val="18"/>
              </w:rPr>
              <w:t>Reference price</w:t>
            </w:r>
          </w:p>
        </w:tc>
        <w:tc>
          <w:tcPr>
            <w:tcW w:type="dxa" w:w="4819"/>
          </w:tcPr>
          <w:p>
            <w:r/>
            <w:r>
              <w:rPr>
                <w:sz w:val="18"/>
              </w:rPr>
              <w:t>Ps 58.60, BMV close 16-Oct-2026</w:t>
            </w:r>
          </w:p>
        </w:tc>
      </w:tr>
      <w:tr>
        <w:tc>
          <w:tcPr>
            <w:tcW w:type="dxa" w:w="4819"/>
          </w:tcPr>
          <w:p>
            <w:r/>
            <w:r>
              <w:rPr>
                <w:sz w:val="18"/>
              </w:rPr>
              <w:t>Stance</w:t>
            </w:r>
          </w:p>
        </w:tc>
        <w:tc>
          <w:tcPr>
            <w:tcW w:type="dxa" w:w="4819"/>
          </w:tcPr>
          <w:p>
            <w:r/>
            <w:r>
              <w:rPr>
                <w:sz w:val="18"/>
              </w:rPr>
              <w:t>HOLD</w:t>
            </w:r>
          </w:p>
        </w:tc>
      </w:tr>
      <w:tr>
        <w:tc>
          <w:tcPr>
            <w:tcW w:type="dxa" w:w="4819"/>
          </w:tcPr>
          <w:p>
            <w:r/>
            <w:r>
              <w:rPr>
                <w:sz w:val="18"/>
              </w:rPr>
              <w:t>Pillars</w:t>
            </w:r>
          </w:p>
        </w:tc>
        <w:tc>
          <w:tcPr>
            <w:tcW w:type="dxa" w:w="4819"/>
          </w:tcPr>
          <w:p>
            <w:r/>
            <w:r>
              <w:rPr>
                <w:sz w:val="18"/>
              </w:rPr>
              <w:t>Three, one against selling and two against buying, as decided on 2026-10-19</w:t>
            </w:r>
          </w:p>
        </w:tc>
      </w:tr>
      <w:tr>
        <w:tc>
          <w:tcPr>
            <w:tcW w:type="dxa" w:w="4819"/>
          </w:tcPr>
          <w:p>
            <w:r/>
            <w:r>
              <w:rPr>
                <w:sz w:val="18"/>
              </w:rPr>
              <w:t>Target</w:t>
            </w:r>
          </w:p>
        </w:tc>
        <w:tc>
          <w:tcPr>
            <w:tcW w:type="dxa" w:w="4819"/>
          </w:tcPr>
          <w:p>
            <w:r/>
            <w:r>
              <w:rPr>
                <w:sz w:val="18"/>
              </w:rPr>
              <w:t>12-month, method B (DCF re-run at 16-Oct-2027), shares held as in V2</w:t>
            </w:r>
          </w:p>
        </w:tc>
      </w:tr>
      <w:tr>
        <w:tc>
          <w:tcPr>
            <w:tcW w:type="dxa" w:w="4819"/>
          </w:tcPr>
          <w:p>
            <w:r/>
            <w:r>
              <w:rPr>
                <w:sz w:val="18"/>
              </w:rPr>
              <w:t>HOLD band</w:t>
            </w:r>
          </w:p>
        </w:tc>
        <w:tc>
          <w:tcPr>
            <w:tcW w:type="dxa" w:w="4819"/>
          </w:tcPr>
          <w:p>
            <w:r/>
            <w:r>
              <w:rPr>
                <w:sz w:val="18"/>
              </w:rPr>
              <w:t>Anchored on the V2 WACC ±0.5 pp sensitivity around ke</w:t>
            </w:r>
          </w:p>
        </w:tc>
      </w:tr>
      <w:tr>
        <w:tc>
          <w:tcPr>
            <w:tcW w:type="dxa" w:w="4819"/>
          </w:tcPr>
          <w:p>
            <w:r/>
            <w:r>
              <w:rPr>
                <w:sz w:val="18"/>
              </w:rPr>
              <w:t>H-01 (FY2026E expense split)</w:t>
            </w:r>
          </w:p>
        </w:tc>
        <w:tc>
          <w:tcPr>
            <w:tcW w:type="dxa" w:w="4819"/>
          </w:tcPr>
          <w:p>
            <w:r/>
            <w:r>
              <w:rPr>
                <w:sz w:val="18"/>
              </w:rPr>
              <w:t>Unchanged</w:t>
            </w:r>
          </w:p>
        </w:tc>
      </w:tr>
    </w:tbl>
    <w:p/>
    <w:p>
      <w:pPr>
        <w:pStyle w:val="Heading1"/>
      </w:pPr>
      <w:r>
        <w:t>Open items and sources</w:t>
      </w:r>
    </w:p>
    <w:p>
      <w:r>
        <w:t>Nothing in this list enters the report until it is resolved.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9E2F3"/>
          </w:tcPr>
          <w:p>
            <w:r/>
            <w:r>
              <w:rPr>
                <w:b/>
                <w:sz w:val="18"/>
              </w:rPr>
              <w:t>Open item</w:t>
            </w:r>
          </w:p>
        </w:tc>
        <w:tc>
          <w:tcPr>
            <w:tcW w:type="dxa" w:w="3213"/>
            <w:shd w:val="clear" w:color="auto" w:fill="D9E2F3"/>
          </w:tcPr>
          <w:p>
            <w:r/>
            <w:r>
              <w:rPr>
                <w:b/>
                <w:sz w:val="18"/>
              </w:rPr>
              <w:t>Status</w:t>
            </w:r>
          </w:p>
        </w:tc>
        <w:tc>
          <w:tcPr>
            <w:tcW w:type="dxa" w:w="3213"/>
            <w:shd w:val="clear" w:color="auto" w:fill="D9E2F3"/>
          </w:tcPr>
          <w:p>
            <w:r/>
            <w:r>
              <w:rPr>
                <w:b/>
                <w:sz w:val="18"/>
              </w:rPr>
              <w:t>How to resolve</w:t>
            </w:r>
          </w:p>
        </w:tc>
      </w:tr>
      <w:tr>
        <w:tc>
          <w:tcPr>
            <w:tcW w:type="dxa" w:w="3213"/>
          </w:tcPr>
          <w:p>
            <w:r/>
            <w:r>
              <w:rPr>
                <w:sz w:val="18"/>
              </w:rPr>
              <w:t>Value of 100 bp of long-run margin</w:t>
            </w:r>
          </w:p>
        </w:tc>
        <w:tc>
          <w:tcPr>
            <w:tcW w:type="dxa" w:w="3213"/>
          </w:tcPr>
          <w:p>
            <w:r/>
            <w:r>
              <w:rPr>
                <w:sz w:val="18"/>
              </w:rPr>
              <w:t>Three different figures in the drafts (~Ps 14, ~Ps 11, Ps 3.0–3.8); none run on the V2</w:t>
            </w:r>
          </w:p>
        </w:tc>
        <w:tc>
          <w:tcPr>
            <w:tcW w:type="dxa" w:w="3213"/>
          </w:tcPr>
          <w:p>
            <w:r/>
            <w:r>
              <w:rPr>
                <w:sz w:val="18"/>
              </w:rPr>
              <w:t>Recompute once on a V2 copy</w:t>
            </w:r>
          </w:p>
        </w:tc>
      </w:tr>
      <w:tr>
        <w:tc>
          <w:tcPr>
            <w:tcW w:type="dxa" w:w="3213"/>
          </w:tcPr>
          <w:p>
            <w:r/>
            <w:r>
              <w:rPr>
                <w:sz w:val="18"/>
              </w:rPr>
              <w:t>Restructuring at the FY2025 level from FY2027E</w:t>
            </w:r>
          </w:p>
        </w:tc>
        <w:tc>
          <w:tcPr>
            <w:tcW w:type="dxa" w:w="3213"/>
          </w:tcPr>
          <w:p>
            <w:r/>
            <w:r>
              <w:rPr>
                <w:sz w:val="18"/>
              </w:rPr>
              <w:t>Margin effect ~14.2% [calc]; value effect not run</w:t>
            </w:r>
          </w:p>
        </w:tc>
        <w:tc>
          <w:tcPr>
            <w:tcW w:type="dxa" w:w="3213"/>
          </w:tcPr>
          <w:p>
            <w:r/>
            <w:r>
              <w:rPr>
                <w:sz w:val="18"/>
              </w:rPr>
              <w:t>Run on a V2 copy</w:t>
            </w:r>
          </w:p>
        </w:tc>
      </w:tr>
      <w:tr>
        <w:tc>
          <w:tcPr>
            <w:tcW w:type="dxa" w:w="3213"/>
          </w:tcPr>
          <w:p>
            <w:r/>
            <w:r>
              <w:rPr>
                <w:sz w:val="18"/>
              </w:rPr>
              <w:t>Share count and buybacks</w:t>
            </w:r>
          </w:p>
        </w:tc>
        <w:tc>
          <w:tcPr>
            <w:tcW w:type="dxa" w:w="3213"/>
          </w:tcPr>
          <w:p>
            <w:r/>
            <w:r>
              <w:rPr>
                <w:sz w:val="18"/>
              </w:rPr>
              <w:t>Up to +Ps 0.92 per share if 4Q26 and FY2027E buybacks reduced shares at fair value</w:t>
            </w:r>
          </w:p>
        </w:tc>
        <w:tc>
          <w:tcPr>
            <w:tcW w:type="dxa" w:w="3213"/>
          </w:tcPr>
          <w:p>
            <w:r/>
            <w:r>
              <w:rPr>
                <w:sz w:val="18"/>
              </w:rPr>
              <w:t>Team decision, kept at V2 rule for now</w:t>
            </w:r>
          </w:p>
        </w:tc>
      </w:tr>
      <w:tr>
        <w:tc>
          <w:tcPr>
            <w:tcW w:type="dxa" w:w="3213"/>
          </w:tcPr>
          <w:p>
            <w:r/>
            <w:r>
              <w:rPr>
                <w:sz w:val="18"/>
              </w:rPr>
              <w:t>Other V2 audit items (NOPAT tax 30% vs 32.7%, NCI growth, debt currency mix, terminal-value label)</w:t>
            </w:r>
          </w:p>
        </w:tc>
        <w:tc>
          <w:tcPr>
            <w:tcW w:type="dxa" w:w="3213"/>
          </w:tcPr>
          <w:p>
            <w:r/>
            <w:r>
              <w:rPr>
                <w:sz w:val="18"/>
              </w:rPr>
              <w:t>Values in the V2 audit, not re-run here</w:t>
            </w:r>
          </w:p>
        </w:tc>
        <w:tc>
          <w:tcPr>
            <w:tcW w:type="dxa" w:w="3213"/>
          </w:tcPr>
          <w:p>
            <w:r/>
            <w:r>
              <w:rPr>
                <w:sz w:val="18"/>
              </w:rPr>
              <w:t>Decide one by one; see audit_statements_v2_2026-10-28_ES.md</w:t>
            </w:r>
          </w:p>
        </w:tc>
      </w:tr>
      <w:tr>
        <w:tc>
          <w:tcPr>
            <w:tcW w:type="dxa" w:w="3213"/>
          </w:tcPr>
          <w:p>
            <w:r/>
            <w:r>
              <w:rPr>
                <w:sz w:val="18"/>
              </w:rPr>
              <w:t>US wheat price, diesel, private-label share, Flowers margin, US elasticity</w:t>
            </w:r>
          </w:p>
        </w:tc>
        <w:tc>
          <w:tcPr>
            <w:tcW w:type="dxa" w:w="3213"/>
          </w:tcPr>
          <w:p>
            <w:r/>
            <w:r>
              <w:rPr>
                <w:sz w:val="18"/>
              </w:rPr>
              <w:t>[unverified] secondary or search summaries</w:t>
            </w:r>
          </w:p>
        </w:tc>
        <w:tc>
          <w:tcPr>
            <w:tcW w:type="dxa" w:w="3213"/>
          </w:tcPr>
          <w:p>
            <w:r/>
            <w:r>
              <w:rPr>
                <w:sz w:val="18"/>
              </w:rPr>
              <w:t>Confirm in CME/Barchart, EIA, NielsenIQ/Circana, Flowers 8-K</w:t>
            </w:r>
          </w:p>
        </w:tc>
      </w:tr>
      <w:tr>
        <w:tc>
          <w:tcPr>
            <w:tcW w:type="dxa" w:w="3213"/>
          </w:tcPr>
          <w:p>
            <w:r/>
            <w:r>
              <w:rPr>
                <w:sz w:val="18"/>
              </w:rPr>
              <w:t>Share price after 16-Oct-2026 (62.69, 64.70)</w:t>
            </w:r>
          </w:p>
        </w:tc>
        <w:tc>
          <w:tcPr>
            <w:tcW w:type="dxa" w:w="3213"/>
          </w:tcPr>
          <w:p>
            <w:r/>
            <w:r>
              <w:rPr>
                <w:sz w:val="18"/>
              </w:rPr>
              <w:t>[unverified]</w:t>
            </w:r>
          </w:p>
        </w:tc>
        <w:tc>
          <w:tcPr>
            <w:tcW w:type="dxa" w:w="3213"/>
          </w:tcPr>
          <w:p>
            <w:r/>
            <w:r>
              <w:rPr>
                <w:sz w:val="18"/>
              </w:rPr>
              <w:t>Context only; reference price stays Ps 58.60</w:t>
            </w:r>
          </w:p>
        </w:tc>
      </w:tr>
    </w:tbl>
    <w:p/>
    <w:p>
      <w:r>
        <w:rPr>
          <w:b/>
        </w:rPr>
        <w:t>Sources</w:t>
      </w:r>
    </w:p>
    <w:p>
      <w:pPr>
        <w:pStyle w:val="ListBullet"/>
      </w:pPr>
      <w:r>
        <w:t xml:space="preserve">Model of record: </w:t>
      </w:r>
      <w:r>
        <w:rPr>
          <w:rFonts w:ascii="Consolas" w:hAnsi="Consolas"/>
        </w:rPr>
        <w:t>BIMBOA_statements_2021-2030_v2_pivot_waccV2.xlsx</w:t>
      </w:r>
      <w:r>
        <w:t xml:space="preserve"> (sheets Valuacion, Assumptions, IS, Segments, BS, WACC_V2).</w:t>
      </w:r>
    </w:p>
    <w:p>
      <w:pPr>
        <w:pStyle w:val="ListBullet"/>
      </w:pPr>
      <w:r>
        <w:t xml:space="preserve">12-month target: test copy </w:t>
      </w:r>
      <w:r>
        <w:rPr>
          <w:rFonts w:ascii="Consolas" w:hAnsi="Consolas"/>
        </w:rPr>
        <w:t>analisis-dcf-2026-10-26/precio-objetivo/BIMBOA_statements_2021-2030_v2_pivot_waccV2_TP12m.xlsx</w:t>
      </w:r>
      <w:r>
        <w:t>, sheet Valuacion_12m.</w:t>
      </w:r>
    </w:p>
    <w:p>
      <w:pPr>
        <w:pStyle w:val="ListBullet"/>
      </w:pPr>
      <w:r>
        <w:t>Grupo Bimbo, 3Q26 results release, 22-Oct-2026 (</w:t>
      </w:r>
      <w:r>
        <w:rPr>
          <w:rFonts w:ascii="Consolas" w:hAnsi="Consolas"/>
        </w:rPr>
        <w:t>filings/quarterly/</w:t>
      </w:r>
      <w:r>
        <w:t>).</w:t>
      </w:r>
    </w:p>
    <w:p>
      <w:pPr>
        <w:pStyle w:val="ListBullet"/>
      </w:pPr>
      <w:r>
        <w:t>Grupo Bimbo 3Q26 earnings call, 22-Oct-2026, team transcript (</w:t>
      </w:r>
      <w:r>
        <w:rPr>
          <w:rFonts w:ascii="Consolas" w:hAnsi="Consolas"/>
        </w:rPr>
        <w:t>raw/bimbo-3q26-earnings-call-2026-10-22-team-transcript.txt</w:t>
      </w:r>
      <w:r>
        <w:t>), timestamps cited.</w:t>
      </w:r>
    </w:p>
    <w:p>
      <w:pPr>
        <w:pStyle w:val="ListBullet"/>
      </w:pPr>
      <w:r>
        <w:t xml:space="preserve">Project wiki: </w:t>
      </w:r>
      <w:r>
        <w:rPr>
          <w:rFonts w:ascii="Consolas" w:hAnsi="Consolas"/>
        </w:rPr>
        <w:t>bimbo-north-america-turnaround-evidence</w:t>
      </w:r>
      <w:r>
        <w:t xml:space="preserve">, </w:t>
      </w:r>
      <w:r>
        <w:rPr>
          <w:rFonts w:ascii="Consolas" w:hAnsi="Consolas"/>
        </w:rPr>
        <w:t>bimbo-governance-and-ownership</w:t>
      </w:r>
      <w:r>
        <w:t xml:space="preserve">, </w:t>
      </w:r>
      <w:r>
        <w:rPr>
          <w:rFonts w:ascii="Consolas" w:hAnsi="Consolas"/>
        </w:rPr>
        <w:t>ciq-sell-side-sentiment-facts</w:t>
      </w:r>
      <w:r>
        <w:t>.</w:t>
      </w:r>
    </w:p>
    <w:p>
      <w:pPr>
        <w:pStyle w:val="ListBullet"/>
      </w:pPr>
      <w:r>
        <w:t>Grupo Bimbo Annual Report 2025 (RA25) and audited financial statements 2025 (EEFF25), as cited in the V2 and the wiki.</w:t>
      </w:r>
    </w:p>
    <w:p>
      <w:r>
        <w:t xml:space="preserve">Supersedes the three drafts: </w:t>
      </w:r>
      <w:r>
        <w:rPr>
          <w:i/>
        </w:rPr>
        <w:t>Bought growth, borrowed margin</w:t>
      </w:r>
      <w:r>
        <w:t xml:space="preserve"> (v3), </w:t>
      </w:r>
      <w:r>
        <w:rPr>
          <w:i/>
        </w:rPr>
        <w:t>HOLD centred on the CEO</w:t>
      </w:r>
      <w:r>
        <w:t xml:space="preserve"> and </w:t>
      </w:r>
      <w:r>
        <w:rPr>
          <w:i/>
        </w:rPr>
        <w:t>US HOLD single document</w:t>
      </w:r>
      <w: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A5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A5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1F3A5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F3A5F"/>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1F3A5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F3A5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F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F3A5F"/>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F3A5F"/>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A5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A5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1F3A5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F3A5F"/>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1F3A5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