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Grupo Bimbo (BMV: BIMBO A)</w:t>
        <w:br/>
        <w:t>Guía de valuación: WACC, DCF e Industria y Peers</w:t>
      </w:r>
    </w:p>
    <w:p>
      <w:r>
        <w:rPr>
          <w:i/>
        </w:rPr>
        <w:t>Fecha de valuación: 16-oct-2026 · Moneda: pesos mexicanos (MXN), millones, salvo indicación · Base contable: IFRS · Elaborado sobre copias de las plantillas de S&amp;P Capital IQ Pro. Las cifras de valor son resultados de un modelo, no un precio objetivo: el precio objetivo y la recomendación los decide el equipo.</w:t>
      </w:r>
    </w:p>
    <w:p>
      <w:pPr>
        <w:pStyle w:val="Heading1"/>
      </w:pPr>
      <w:r>
        <w:t>1. Resumen ejecutivo</w:t>
      </w:r>
    </w:p>
    <w:p>
      <w:r>
        <w:rPr>
          <w:i w:val="0"/>
        </w:rPr>
        <w:t>Resultados calculados</w:t>
      </w:r>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1F3864"/>
          </w:tcPr>
          <w:p>
            <w:r/>
            <w:r>
              <w:rPr>
                <w:b/>
                <w:color w:val="FFFFFF"/>
                <w:sz w:val="18"/>
              </w:rPr>
              <w:t>Concepto</w:t>
            </w:r>
          </w:p>
        </w:tc>
        <w:tc>
          <w:tcPr>
            <w:tcW w:type="dxa" w:w="2721"/>
            <w:shd w:val="clear" w:color="auto" w:fill="1F3864"/>
          </w:tcPr>
          <w:p>
            <w:r/>
            <w:r>
              <w:rPr>
                <w:b/>
                <w:color w:val="FFFFFF"/>
                <w:sz w:val="18"/>
              </w:rPr>
              <w:t>Resultado</w:t>
            </w:r>
          </w:p>
        </w:tc>
        <w:tc>
          <w:tcPr>
            <w:tcW w:type="dxa" w:w="2948"/>
            <w:shd w:val="clear" w:color="auto" w:fill="1F3864"/>
          </w:tcPr>
          <w:p>
            <w:r/>
            <w:r>
              <w:rPr>
                <w:b/>
                <w:color w:val="FFFFFF"/>
                <w:sz w:val="18"/>
              </w:rPr>
              <w:t>Dónde está</w:t>
            </w:r>
          </w:p>
        </w:tc>
      </w:tr>
      <w:tr>
        <w:tc>
          <w:tcPr>
            <w:tcW w:type="dxa" w:w="3969"/>
          </w:tcPr>
          <w:p>
            <w:r/>
            <w:r>
              <w:rPr>
                <w:sz w:val="18"/>
              </w:rPr>
              <w:t>WACC</w:t>
            </w:r>
          </w:p>
        </w:tc>
        <w:tc>
          <w:tcPr>
            <w:tcW w:type="dxa" w:w="2721"/>
          </w:tcPr>
          <w:p>
            <w:r/>
            <w:r>
              <w:rPr>
                <w:sz w:val="18"/>
              </w:rPr>
              <w:t>10.32%</w:t>
            </w:r>
          </w:p>
        </w:tc>
        <w:tc>
          <w:tcPr>
            <w:tcW w:type="dxa" w:w="2948"/>
          </w:tcPr>
          <w:p>
            <w:r/>
            <w:r>
              <w:rPr>
                <w:sz w:val="18"/>
              </w:rPr>
              <w:t>Bimbo_WACC.xlsm, hoja WACC, celda C87</w:t>
            </w:r>
          </w:p>
        </w:tc>
      </w:tr>
      <w:tr>
        <w:tc>
          <w:tcPr>
            <w:tcW w:type="dxa" w:w="3969"/>
          </w:tcPr>
          <w:p>
            <w:r/>
            <w:r>
              <w:rPr>
                <w:sz w:val="18"/>
              </w:rPr>
              <w:t>Costo de capital (ke) / beta reapalancada</w:t>
            </w:r>
          </w:p>
        </w:tc>
        <w:tc>
          <w:tcPr>
            <w:tcW w:type="dxa" w:w="2721"/>
          </w:tcPr>
          <w:p>
            <w:r/>
            <w:r>
              <w:rPr>
                <w:sz w:val="18"/>
              </w:rPr>
              <w:t>12.94% / 0.81</w:t>
            </w:r>
          </w:p>
        </w:tc>
        <w:tc>
          <w:tcPr>
            <w:tcW w:type="dxa" w:w="2948"/>
          </w:tcPr>
          <w:p>
            <w:r/>
            <w:r>
              <w:rPr>
                <w:sz w:val="18"/>
              </w:rPr>
              <w:t>WACC!C73 / WACC!C69</w:t>
            </w:r>
          </w:p>
        </w:tc>
      </w:tr>
      <w:tr>
        <w:tc>
          <w:tcPr>
            <w:tcW w:type="dxa" w:w="3969"/>
          </w:tcPr>
          <w:p>
            <w:r/>
            <w:r>
              <w:rPr>
                <w:sz w:val="18"/>
              </w:rPr>
              <w:t>Costo de deuda después de impuestos</w:t>
            </w:r>
          </w:p>
        </w:tc>
        <w:tc>
          <w:tcPr>
            <w:tcW w:type="dxa" w:w="2721"/>
          </w:tcPr>
          <w:p>
            <w:r/>
            <w:r>
              <w:rPr>
                <w:sz w:val="18"/>
              </w:rPr>
              <w:t>6.80% (9.71% x (1 - 30%))</w:t>
            </w:r>
          </w:p>
        </w:tc>
        <w:tc>
          <w:tcPr>
            <w:tcW w:type="dxa" w:w="2948"/>
          </w:tcPr>
          <w:p>
            <w:r/>
            <w:r>
              <w:rPr>
                <w:sz w:val="18"/>
              </w:rPr>
              <w:t>WACC!C79</w:t>
            </w:r>
          </w:p>
        </w:tc>
      </w:tr>
      <w:tr>
        <w:tc>
          <w:tcPr>
            <w:tcW w:type="dxa" w:w="3969"/>
          </w:tcPr>
          <w:p>
            <w:r/>
            <w:r>
              <w:rPr>
                <w:sz w:val="18"/>
              </w:rPr>
              <w:t>Peso deuda / capital (mercado, deuda incl. arrendamientos)</w:t>
            </w:r>
          </w:p>
        </w:tc>
        <w:tc>
          <w:tcPr>
            <w:tcW w:type="dxa" w:w="2721"/>
          </w:tcPr>
          <w:p>
            <w:r/>
            <w:r>
              <w:rPr>
                <w:sz w:val="18"/>
              </w:rPr>
              <w:t>42.6% / 57.4%</w:t>
            </w:r>
          </w:p>
        </w:tc>
        <w:tc>
          <w:tcPr>
            <w:tcW w:type="dxa" w:w="2948"/>
          </w:tcPr>
          <w:p>
            <w:r/>
            <w:r>
              <w:rPr>
                <w:sz w:val="18"/>
              </w:rPr>
              <w:t>WACC!C80 / C74</w:t>
            </w:r>
          </w:p>
        </w:tc>
      </w:tr>
      <w:tr>
        <w:tc>
          <w:tcPr>
            <w:tcW w:type="dxa" w:w="3969"/>
          </w:tcPr>
          <w:p>
            <w:r/>
            <w:r>
              <w:rPr>
                <w:sz w:val="18"/>
              </w:rPr>
              <w:t>Valor de empresa (DCF, múltiplo de salida 6.0x), 30-jun-2026</w:t>
            </w:r>
          </w:p>
        </w:tc>
        <w:tc>
          <w:tcPr>
            <w:tcW w:type="dxa" w:w="2721"/>
          </w:tcPr>
          <w:p>
            <w:r/>
            <w:r>
              <w:rPr>
                <w:sz w:val="18"/>
              </w:rPr>
              <w:t>MXN 382,019 m</w:t>
            </w:r>
          </w:p>
        </w:tc>
        <w:tc>
          <w:tcPr>
            <w:tcW w:type="dxa" w:w="2948"/>
          </w:tcPr>
          <w:p>
            <w:r/>
            <w:r>
              <w:rPr>
                <w:sz w:val="18"/>
              </w:rPr>
              <w:t>Bimbo_DCF.xlsm, DCF!I145</w:t>
            </w:r>
          </w:p>
        </w:tc>
      </w:tr>
      <w:tr>
        <w:tc>
          <w:tcPr>
            <w:tcW w:type="dxa" w:w="3969"/>
          </w:tcPr>
          <w:p>
            <w:r/>
            <w:r>
              <w:rPr>
                <w:sz w:val="18"/>
              </w:rPr>
              <w:t>Valor del capital (mismo método), 30-jun-2026</w:t>
            </w:r>
          </w:p>
        </w:tc>
        <w:tc>
          <w:tcPr>
            <w:tcW w:type="dxa" w:w="2721"/>
          </w:tcPr>
          <w:p>
            <w:r/>
            <w:r>
              <w:rPr>
                <w:sz w:val="18"/>
              </w:rPr>
              <w:t>MXN 195,278 m</w:t>
            </w:r>
          </w:p>
        </w:tc>
        <w:tc>
          <w:tcPr>
            <w:tcW w:type="dxa" w:w="2948"/>
          </w:tcPr>
          <w:p>
            <w:r/>
            <w:r>
              <w:rPr>
                <w:sz w:val="18"/>
              </w:rPr>
              <w:t>DCF!I152</w:t>
            </w:r>
          </w:p>
        </w:tc>
      </w:tr>
      <w:tr>
        <w:tc>
          <w:tcPr>
            <w:tcW w:type="dxa" w:w="3969"/>
          </w:tcPr>
          <w:p>
            <w:r/>
            <w:r>
              <w:rPr>
                <w:sz w:val="18"/>
              </w:rPr>
              <w:t>Valor por acción, múltiplo de salida (al 16-oct-2026)</w:t>
            </w:r>
          </w:p>
        </w:tc>
        <w:tc>
          <w:tcPr>
            <w:tcW w:type="dxa" w:w="2721"/>
          </w:tcPr>
          <w:p>
            <w:r/>
            <w:r>
              <w:rPr>
                <w:sz w:val="18"/>
              </w:rPr>
              <w:t>MXN 47.13 (-19.6% vs 58.60)</w:t>
            </w:r>
          </w:p>
        </w:tc>
        <w:tc>
          <w:tcPr>
            <w:tcW w:type="dxa" w:w="2948"/>
          </w:tcPr>
          <w:p>
            <w:r/>
            <w:r>
              <w:rPr>
                <w:sz w:val="18"/>
              </w:rPr>
              <w:t>Supuestos_DCF!B65</w:t>
            </w:r>
          </w:p>
        </w:tc>
      </w:tr>
      <w:tr>
        <w:tc>
          <w:tcPr>
            <w:tcW w:type="dxa" w:w="3969"/>
          </w:tcPr>
          <w:p>
            <w:r/>
            <w:r>
              <w:rPr>
                <w:sz w:val="18"/>
              </w:rPr>
              <w:t>Valor por acción, Gordon g = 4.25% (al 16-oct-2026)</w:t>
            </w:r>
          </w:p>
        </w:tc>
        <w:tc>
          <w:tcPr>
            <w:tcW w:type="dxa" w:w="2721"/>
          </w:tcPr>
          <w:p>
            <w:r/>
            <w:r>
              <w:rPr>
                <w:sz w:val="18"/>
              </w:rPr>
              <w:t>MXN 36.91 (-37.0%)</w:t>
            </w:r>
          </w:p>
        </w:tc>
        <w:tc>
          <w:tcPr>
            <w:tcW w:type="dxa" w:w="2948"/>
          </w:tcPr>
          <w:p>
            <w:r/>
            <w:r>
              <w:rPr>
                <w:sz w:val="18"/>
              </w:rPr>
              <w:t>Supuestos_DCF!B85</w:t>
            </w:r>
          </w:p>
        </w:tc>
      </w:tr>
      <w:tr>
        <w:tc>
          <w:tcPr>
            <w:tcW w:type="dxa" w:w="3969"/>
          </w:tcPr>
          <w:p>
            <w:r/>
            <w:r>
              <w:rPr>
                <w:sz w:val="18"/>
              </w:rPr>
              <w:t>Crecimiento de ventas que implica el precio (DCF inverso)</w:t>
            </w:r>
          </w:p>
        </w:tc>
        <w:tc>
          <w:tcPr>
            <w:tcW w:type="dxa" w:w="2721"/>
          </w:tcPr>
          <w:p>
            <w:r/>
            <w:r>
              <w:rPr>
                <w:sz w:val="18"/>
              </w:rPr>
              <w:t>~7.1% anual vs ~3.6% proyectado</w:t>
            </w:r>
          </w:p>
        </w:tc>
        <w:tc>
          <w:tcPr>
            <w:tcW w:type="dxa" w:w="2948"/>
          </w:tcPr>
          <w:p>
            <w:r/>
            <w:r>
              <w:rPr>
                <w:sz w:val="18"/>
              </w:rPr>
              <w:t>Reverse_DCF!F16</w:t>
            </w:r>
          </w:p>
        </w:tc>
      </w:tr>
      <w:tr>
        <w:tc>
          <w:tcPr>
            <w:tcW w:type="dxa" w:w="3969"/>
          </w:tcPr>
          <w:p>
            <w:r/>
            <w:r>
              <w:rPr>
                <w:sz w:val="18"/>
              </w:rPr>
              <w:t>Comparables: EV/EBITDA 5.5x (núcleo) a 6.0x</w:t>
            </w:r>
          </w:p>
        </w:tc>
        <w:tc>
          <w:tcPr>
            <w:tcW w:type="dxa" w:w="2721"/>
          </w:tcPr>
          <w:p>
            <w:r/>
            <w:r>
              <w:rPr>
                <w:sz w:val="18"/>
              </w:rPr>
              <w:t>MXN 34.9 a 41.6 por acción</w:t>
            </w:r>
          </w:p>
        </w:tc>
        <w:tc>
          <w:tcPr>
            <w:tcW w:type="dxa" w:w="2948"/>
          </w:tcPr>
          <w:p>
            <w:r/>
            <w:r>
              <w:rPr>
                <w:sz w:val="18"/>
              </w:rPr>
              <w:t>Bimbo_Financials_Peers.xlsx, Multiplos_y_Seleccion</w:t>
            </w:r>
          </w:p>
        </w:tc>
      </w:tr>
    </w:tbl>
    <w:p/>
    <w:p>
      <w:r>
        <w:rPr>
          <w:i w:val="0"/>
        </w:rPr>
        <w:t>Conclusiones interpretativas (para discutir en equipo)</w:t>
      </w:r>
    </w:p>
    <w:p>
      <w:pPr>
        <w:pStyle w:val="ListBullet"/>
      </w:pPr>
      <w:r>
        <w:rPr>
          <w:i w:val="0"/>
        </w:rPr>
        <w:t>Los tres enfoques (DCF por múltiplo, Gordon y comparables) dan valores por debajo del precio de MXN 58.60. El precio actual solo se justifica si las ventas crecen ~7% al año durante 5 años o si el mercado paga un múltiplo de salida cercano a 8x.</w:t>
      </w:r>
    </w:p>
    <w:p>
      <w:pPr>
        <w:pStyle w:val="ListBullet"/>
      </w:pPr>
      <w:r>
        <w:rPr>
          <w:i w:val="0"/>
        </w:rPr>
        <w:t>El resultado es muy sensible al múltiplo de salida (+1x = +MXN 12.0 por acción), al WACC (+0.5 pp = -MXN 6.4 en Gordon) y al margen EBITDA (+1 pp = +MXN 7.4 a 11.5). El valor terminal pesa 78% del valor de empresa.</w:t>
      </w:r>
    </w:p>
    <w:p>
      <w:pPr>
        <w:pStyle w:val="ListBullet"/>
      </w:pPr>
      <w:r>
        <w:rPr>
          <w:i w:val="0"/>
        </w:rPr>
        <w:t>Bimbo vale más que las panificadoras puras (Flowers, Gruma) por su negocio en México y LatAm, pero menos que los snacks globales (Mondelez, PepsiCo), que tienen márgenes y retornos más altos. Un múltiplo menor no es por sí solo señal de subvaluación.</w:t>
      </w:r>
    </w:p>
    <w:p>
      <w:pPr>
        <w:pStyle w:val="ListBullet"/>
      </w:pPr>
      <w:r>
        <w:rPr>
          <w:i w:val="0"/>
        </w:rPr>
        <w:t>Estos números no son un precio objetivo. Los supuestos marcados [assumption] son propuestas de la v3 del equipo que siguen abiertas (ruta del WACC, g, múltiplo, capex terminal).</w:t>
      </w:r>
    </w:p>
    <w:p>
      <w:pPr>
        <w:pStyle w:val="Heading1"/>
      </w:pPr>
      <w:r>
        <w:t>2. Archivos y cómo leerlos</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1F3864"/>
          </w:tcPr>
          <w:p>
            <w:r/>
            <w:r>
              <w:rPr>
                <w:b/>
                <w:color w:val="FFFFFF"/>
                <w:sz w:val="18"/>
              </w:rPr>
              <w:t>Archivo</w:t>
            </w:r>
          </w:p>
        </w:tc>
        <w:tc>
          <w:tcPr>
            <w:tcW w:type="dxa" w:w="3005"/>
            <w:shd w:val="clear" w:color="auto" w:fill="1F3864"/>
          </w:tcPr>
          <w:p>
            <w:r/>
            <w:r>
              <w:rPr>
                <w:b/>
                <w:color w:val="FFFFFF"/>
                <w:sz w:val="18"/>
              </w:rPr>
              <w:t>Hojas que debes leer</w:t>
            </w:r>
          </w:p>
        </w:tc>
        <w:tc>
          <w:tcPr>
            <w:tcW w:type="dxa" w:w="4252"/>
            <w:shd w:val="clear" w:color="auto" w:fill="1F3864"/>
          </w:tcPr>
          <w:p>
            <w:r/>
            <w:r>
              <w:rPr>
                <w:b/>
                <w:color w:val="FFFFFF"/>
                <w:sz w:val="18"/>
              </w:rPr>
              <w:t>Qué contiene</w:t>
            </w:r>
          </w:p>
        </w:tc>
      </w:tr>
      <w:tr>
        <w:tc>
          <w:tcPr>
            <w:tcW w:type="dxa" w:w="2381"/>
          </w:tcPr>
          <w:p>
            <w:r/>
            <w:r>
              <w:rPr>
                <w:sz w:val="18"/>
              </w:rPr>
              <w:t>Bimbo_WACC.xlsm</w:t>
            </w:r>
          </w:p>
        </w:tc>
        <w:tc>
          <w:tcPr>
            <w:tcW w:type="dxa" w:w="3005"/>
          </w:tcPr>
          <w:p>
            <w:r/>
            <w:r>
              <w:rPr>
                <w:sz w:val="18"/>
              </w:rPr>
              <w:t>WACC (plantilla S&amp;P), Supuestos_WACC, Datos_Bimbo</w:t>
            </w:r>
          </w:p>
        </w:tc>
        <w:tc>
          <w:tcPr>
            <w:tcW w:type="dxa" w:w="4252"/>
          </w:tcPr>
          <w:p>
            <w:r/>
            <w:r>
              <w:rPr>
                <w:sz w:val="18"/>
              </w:rPr>
              <w:t>Costo de capital con la mecánica de la plantilla. Supuestos_WACC explica cada variable en 4 preguntas, la prima país por región y rutas alternativas.</w:t>
            </w:r>
          </w:p>
        </w:tc>
      </w:tr>
      <w:tr>
        <w:tc>
          <w:tcPr>
            <w:tcW w:type="dxa" w:w="2381"/>
          </w:tcPr>
          <w:p>
            <w:r/>
            <w:r>
              <w:rPr>
                <w:sz w:val="18"/>
              </w:rPr>
              <w:t>Bimbo_DCF.xlsm</w:t>
            </w:r>
          </w:p>
        </w:tc>
        <w:tc>
          <w:tcPr>
            <w:tcW w:type="dxa" w:w="3005"/>
          </w:tcPr>
          <w:p>
            <w:r/>
            <w:r>
              <w:rPr>
                <w:sz w:val="18"/>
              </w:rPr>
              <w:t>DCF (plantilla), Supuestos_DCF, Reverse_DCF, Datos_Bimbo</w:t>
            </w:r>
          </w:p>
        </w:tc>
        <w:tc>
          <w:tcPr>
            <w:tcW w:type="dxa" w:w="4252"/>
          </w:tcPr>
          <w:p>
            <w:r/>
            <w:r>
              <w:rPr>
                <w:sz w:val="18"/>
              </w:rPr>
              <w:t>Proyección 2026-2030 por región, flujo libre, valor terminal, puente al capital, Gordon, sensibilidades, DCF inverso y controles.</w:t>
            </w:r>
          </w:p>
        </w:tc>
      </w:tr>
      <w:tr>
        <w:tc>
          <w:tcPr>
            <w:tcW w:type="dxa" w:w="2381"/>
          </w:tcPr>
          <w:p>
            <w:r/>
            <w:r>
              <w:rPr>
                <w:sz w:val="18"/>
              </w:rPr>
              <w:t>Bimbo_Financials_Peers.xlsx</w:t>
            </w:r>
          </w:p>
        </w:tc>
        <w:tc>
          <w:tcPr>
            <w:tcW w:type="dxa" w:w="3005"/>
          </w:tcPr>
          <w:p>
            <w:r/>
            <w:r>
              <w:rPr>
                <w:sz w:val="18"/>
              </w:rPr>
              <w:t>TearSheet, PeerAnalysis (plantilla), Multiplos_y_Seleccion, Datos_Peers</w:t>
            </w:r>
          </w:p>
        </w:tc>
        <w:tc>
          <w:tcPr>
            <w:tcW w:type="dxa" w:w="4252"/>
          </w:tcPr>
          <w:p>
            <w:r/>
            <w:r>
              <w:rPr>
                <w:sz w:val="18"/>
              </w:rPr>
              <w:t>Estados de Bimbo, tabla de peers, selección y comparabilidad, múltiplos en una sola base, valor implícito e industria.</w:t>
            </w:r>
          </w:p>
        </w:tc>
      </w:tr>
      <w:tr>
        <w:tc>
          <w:tcPr>
            <w:tcW w:type="dxa" w:w="2381"/>
          </w:tcPr>
          <w:p>
            <w:r/>
            <w:r>
              <w:rPr>
                <w:sz w:val="18"/>
              </w:rPr>
              <w:t>Bimbo_Guia_de_Valuacion.docx</w:t>
            </w:r>
          </w:p>
        </w:tc>
        <w:tc>
          <w:tcPr>
            <w:tcW w:type="dxa" w:w="3005"/>
          </w:tcPr>
          <w:p>
            <w:r/>
            <w:r>
              <w:rPr>
                <w:sz w:val="18"/>
              </w:rPr>
              <w:t>Este documento</w:t>
            </w:r>
          </w:p>
        </w:tc>
        <w:tc>
          <w:tcPr>
            <w:tcW w:type="dxa" w:w="4252"/>
          </w:tcPr>
          <w:p>
            <w:r/>
            <w:r>
              <w:rPr>
                <w:sz w:val="18"/>
              </w:rPr>
              <w:t>Metodología, decisiones, fuentes, resultados, validación y limitaciones.</w:t>
            </w:r>
          </w:p>
        </w:tc>
      </w:tr>
    </w:tbl>
    <w:p/>
    <w:p>
      <w:r>
        <w:rPr>
          <w:i w:val="0"/>
        </w:rPr>
        <w:t>Código de colores: azul con fondo amarillo = dato o supuesto que puedes cambiar; negro = fórmula. Etiquetas: [sourced] fuente pública (con documento y página), [calc] cálculo, [assumption] juicio del equipo, [guidance] lo dijo la empresa.</w:t>
      </w:r>
    </w:p>
    <w:p>
      <w:r>
        <w:rPr>
          <w:i w:val="0"/>
        </w:rPr>
        <w:t xml:space="preserve">Importante sobre las plantillas: </w:t>
      </w:r>
    </w:p>
    <w:p>
      <w:pPr>
        <w:pStyle w:val="ListBullet"/>
      </w:pPr>
      <w:r>
        <w:rPr>
          <w:i w:val="0"/>
        </w:rPr>
        <w:t>Las plantillas descargan datos con el complemento de Excel de Capital IQ Pro (funciones SPG), que no está instalado en esta computadora. Cada una de esas celdas (594 en WACC, 728 en DCF, 934 en Peers) se reemplazó por un vínculo a la hoja Datos_* con su fuente, o por 'NA' cuando el dato no se usa (por ejemplo, tasas de otros países). El resto de cada fórmula de S&amp;P se conservó.</w:t>
      </w:r>
    </w:p>
    <w:p>
      <w:pPr>
        <w:pStyle w:val="ListBullet"/>
      </w:pPr>
      <w:r>
        <w:rPr>
          <w:i w:val="0"/>
        </w:rPr>
        <w:t>No presiones los botones REFRESH ni UPDATE TERMINOLOGY: requieren el complemento y sustituirían los datos de Bimbo. Si después instalan el complemento, pueden volver a descargar desde las plantillas originales (Descargas).</w:t>
      </w:r>
    </w:p>
    <w:p>
      <w:pPr>
        <w:pStyle w:val="ListBullet"/>
      </w:pPr>
      <w:r>
        <w:rPr>
          <w:i w:val="0"/>
        </w:rPr>
        <w:t>Las celdas modificadas de la plantilla tienen un comentario (triángulo rojo) que explica el cambio.</w:t>
      </w:r>
    </w:p>
    <w:p>
      <w:pPr>
        <w:pStyle w:val="Heading1"/>
      </w:pPr>
      <w:r>
        <w:t>3. WACC: metodología y decisiones</w:t>
      </w:r>
    </w:p>
    <w:p>
      <w:r>
        <w:rPr>
          <w:i w:val="0"/>
        </w:rPr>
        <w:t>Fórmula: WACC = E/(D+E) x ke + D/(D+E) x Kd x (1 - t), con ke = Rf + beta x ERP + CRP. La plantilla calcula esto; los insumos entran por sus celdas de 'Manual Override'. Resultado: 0.574 x 12.94% + 0.426 x 9.71% x 0.70 = 10.32%, igual a la v3 del equipo (diferencia 0.00002 pp).</w:t>
      </w:r>
    </w:p>
    <w:p>
      <w:pPr>
        <w:pStyle w:val="Heading3"/>
      </w:pPr>
      <w:r>
        <w:t>Tasa libre de riesgo (Rf) = 7.51%</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El rendimiento de una inversión en pesos sin riesgo de impago.</w:t>
            </w:r>
          </w:p>
        </w:tc>
      </w:tr>
      <w:tr>
        <w:tc>
          <w:tcPr>
            <w:tcW w:type="dxa" w:w="2268"/>
          </w:tcPr>
          <w:p>
            <w:r/>
            <w:r>
              <w:rPr>
                <w:sz w:val="19"/>
              </w:rPr>
              <w:t>¿Por qué la usamos?</w:t>
            </w:r>
          </w:p>
        </w:tc>
        <w:tc>
          <w:tcPr>
            <w:tcW w:type="dxa" w:w="7370"/>
          </w:tcPr>
          <w:p>
            <w:r/>
            <w:r>
              <w:rPr>
                <w:sz w:val="19"/>
              </w:rPr>
              <w:t>Los flujos del DCF están en pesos, así que Rf debe estar en pesos y a largo plazo. El bono M ya incluye el riesgo de México; se le resta para no cobrar ese riesgo dos veces (se cobra en la prima país). La plantilla traía el bono del Tesoro de EE.UU. a 5 años: incorrecto para pesos.</w:t>
            </w:r>
          </w:p>
        </w:tc>
      </w:tr>
      <w:tr>
        <w:tc>
          <w:tcPr>
            <w:tcW w:type="dxa" w:w="2268"/>
          </w:tcPr>
          <w:p>
            <w:r/>
            <w:r>
              <w:rPr>
                <w:sz w:val="19"/>
              </w:rPr>
              <w:t>¿De dónde sale?</w:t>
            </w:r>
          </w:p>
        </w:tc>
        <w:tc>
          <w:tcPr>
            <w:tcW w:type="dxa" w:w="7370"/>
          </w:tcPr>
          <w:p>
            <w:r/>
            <w:r>
              <w:rPr>
                <w:sz w:val="19"/>
              </w:rPr>
              <w:t>M-Bono 10 años 9.26% (S&amp;P Capital IQ, 16-oct-2026) menos spread de default de México 1.75% (Damodaran, julio 2026, Baa3).</w:t>
            </w:r>
          </w:p>
        </w:tc>
      </w:tr>
      <w:tr>
        <w:tc>
          <w:tcPr>
            <w:tcW w:type="dxa" w:w="2268"/>
          </w:tcPr>
          <w:p>
            <w:r/>
            <w:r>
              <w:rPr>
                <w:sz w:val="19"/>
              </w:rPr>
              <w:t>¿Qué efecto tiene?</w:t>
            </w:r>
          </w:p>
        </w:tc>
        <w:tc>
          <w:tcPr>
            <w:tcW w:type="dxa" w:w="7370"/>
          </w:tcPr>
          <w:p>
            <w:r/>
            <w:r>
              <w:rPr>
                <w:sz w:val="19"/>
              </w:rPr>
              <w:t>Base de ke y de Kd. Ruta A alternativa (M-Bono completo, sin prima país): WACC 10.15%.</w:t>
            </w:r>
          </w:p>
        </w:tc>
      </w:tr>
    </w:tbl>
    <w:p/>
    <w:p>
      <w:pPr>
        <w:pStyle w:val="Heading3"/>
      </w:pPr>
      <w:r>
        <w:t>Prima de riesgo de mercado (ERP) = 4.20%</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Rendimiento extra que piden los inversionistas por invertir en acciones de un mercado maduro.</w:t>
            </w:r>
          </w:p>
        </w:tc>
      </w:tr>
      <w:tr>
        <w:tc>
          <w:tcPr>
            <w:tcW w:type="dxa" w:w="2268"/>
          </w:tcPr>
          <w:p>
            <w:r/>
            <w:r>
              <w:rPr>
                <w:sz w:val="19"/>
              </w:rPr>
              <w:t>¿Por qué la usamos?</w:t>
            </w:r>
          </w:p>
        </w:tc>
        <w:tc>
          <w:tcPr>
            <w:tcW w:type="dxa" w:w="7370"/>
          </w:tcPr>
          <w:p>
            <w:r/>
            <w:r>
              <w:rPr>
                <w:sz w:val="19"/>
              </w:rPr>
              <w:t>Es una prima implícita (de hoy, basada en precios), más estable que el promedio histórico del S&amp;P 500 que usa la plantilla (que daba ~9.3%).</w:t>
            </w:r>
          </w:p>
        </w:tc>
      </w:tr>
      <w:tr>
        <w:tc>
          <w:tcPr>
            <w:tcW w:type="dxa" w:w="2268"/>
          </w:tcPr>
          <w:p>
            <w:r/>
            <w:r>
              <w:rPr>
                <w:sz w:val="19"/>
              </w:rPr>
              <w:t>¿De dónde sale?</w:t>
            </w:r>
          </w:p>
        </w:tc>
        <w:tc>
          <w:tcPr>
            <w:tcW w:type="dxa" w:w="7370"/>
          </w:tcPr>
          <w:p>
            <w:r/>
            <w:r>
              <w:rPr>
                <w:sz w:val="19"/>
              </w:rPr>
              <w:t>Damodaran, ERP implícita al 1-oct-2026. En la plantilla: Rm = Rf + ERP (override de Rm).</w:t>
            </w:r>
          </w:p>
        </w:tc>
      </w:tr>
      <w:tr>
        <w:tc>
          <w:tcPr>
            <w:tcW w:type="dxa" w:w="2268"/>
          </w:tcPr>
          <w:p>
            <w:r/>
            <w:r>
              <w:rPr>
                <w:sz w:val="19"/>
              </w:rPr>
              <w:t>¿Qué efecto tiene?</w:t>
            </w:r>
          </w:p>
        </w:tc>
        <w:tc>
          <w:tcPr>
            <w:tcW w:type="dxa" w:w="7370"/>
          </w:tcPr>
          <w:p>
            <w:r/>
            <w:r>
              <w:rPr>
                <w:sz w:val="19"/>
              </w:rPr>
              <w:t>Se multiplica por la beta: +1 pp de ERP sube ke ~0.8 pp.</w:t>
            </w:r>
          </w:p>
        </w:tc>
      </w:tr>
    </w:tbl>
    <w:p/>
    <w:p>
      <w:pPr>
        <w:pStyle w:val="Heading3"/>
      </w:pPr>
      <w:r>
        <w:t>Prima de riesgo país (CRP) = 2.05%</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Rendimiento extra por operar en países más riesgosos que un mercado maduro.</w:t>
            </w:r>
          </w:p>
        </w:tc>
      </w:tr>
      <w:tr>
        <w:tc>
          <w:tcPr>
            <w:tcW w:type="dxa" w:w="2268"/>
          </w:tcPr>
          <w:p>
            <w:r/>
            <w:r>
              <w:rPr>
                <w:sz w:val="19"/>
              </w:rPr>
              <w:t>¿Por qué la usamos?</w:t>
            </w:r>
          </w:p>
        </w:tc>
        <w:tc>
          <w:tcPr>
            <w:tcW w:type="dxa" w:w="7370"/>
          </w:tcPr>
          <w:p>
            <w:r/>
            <w:r>
              <w:rPr>
                <w:sz w:val="19"/>
              </w:rPr>
              <w:t>Bimbo genera 29% de su EBITDA en EE.UU. y Canadá (prima ~0.2%) y 55% en México (2.72%). Ponderar por EBITDA refleja dónde está el riesgo.</w:t>
            </w:r>
          </w:p>
        </w:tc>
      </w:tr>
      <w:tr>
        <w:tc>
          <w:tcPr>
            <w:tcW w:type="dxa" w:w="2268"/>
          </w:tcPr>
          <w:p>
            <w:r/>
            <w:r>
              <w:rPr>
                <w:sz w:val="19"/>
              </w:rPr>
              <w:t>¿De dónde sale?</w:t>
            </w:r>
          </w:p>
        </w:tc>
        <w:tc>
          <w:tcPr>
            <w:tcW w:type="dxa" w:w="7370"/>
          </w:tcPr>
          <w:p>
            <w:r/>
            <w:r>
              <w:rPr>
                <w:sz w:val="19"/>
              </w:rPr>
              <w:t>Damodaran (julio 2026) por país; plantas por país (RA25 p.114-116); EBITDA por segmento FY2025 (EEFF25 p.85-86). Va en el renglón 'Size Premium' de la plantilla, que también se suma a ke sin beta.</w:t>
            </w:r>
          </w:p>
        </w:tc>
      </w:tr>
      <w:tr>
        <w:tc>
          <w:tcPr>
            <w:tcW w:type="dxa" w:w="2268"/>
          </w:tcPr>
          <w:p>
            <w:r/>
            <w:r>
              <w:rPr>
                <w:sz w:val="19"/>
              </w:rPr>
              <w:t>¿Qué efecto tiene?</w:t>
            </w:r>
          </w:p>
        </w:tc>
        <w:tc>
          <w:tcPr>
            <w:tcW w:type="dxa" w:w="7370"/>
          </w:tcPr>
          <w:p>
            <w:r/>
            <w:r>
              <w:rPr>
                <w:sz w:val="19"/>
              </w:rPr>
              <w:t>+0.5 pp de CRP ≈ +0.3 pp de WACC. Ponderada por ventas sería 1.70%.</w:t>
            </w:r>
          </w:p>
        </w:tc>
      </w:tr>
    </w:tbl>
    <w:p/>
    <w:p>
      <w:pPr>
        <w:pStyle w:val="Heading3"/>
      </w:pPr>
      <w:r>
        <w:t>Beta = 0.53 desapalancada → 0.81 reapalancada</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Qué tanto se mueve la acción con el mercado; la desapalancada mide solo el riesgo del negocio.</w:t>
            </w:r>
          </w:p>
        </w:tc>
      </w:tr>
      <w:tr>
        <w:tc>
          <w:tcPr>
            <w:tcW w:type="dxa" w:w="2268"/>
          </w:tcPr>
          <w:p>
            <w:r/>
            <w:r>
              <w:rPr>
                <w:sz w:val="19"/>
              </w:rPr>
              <w:t>¿Por qué la usamos?</w:t>
            </w:r>
          </w:p>
        </w:tc>
        <w:tc>
          <w:tcPr>
            <w:tcW w:type="dxa" w:w="7370"/>
          </w:tcPr>
          <w:p>
            <w:r/>
            <w:r>
              <w:rPr>
                <w:sz w:val="19"/>
              </w:rPr>
              <w:t>Las betas de 5 años de los peers (0.04-0.43) son anormalmente bajas: la beta promedio de la plantilla (0.21) daría un ke casi igual a la tasa libre de riesgo. Se usa la beta de industria (1,450 empresas de alimentos procesados) y se reapalanca con la deuda de Bimbo: 0.53 x (1 + 0.743 x 0.70) = 0.81. La regresión propia de Bimbo (0.82, R2 0.30) la confirma.</w:t>
            </w:r>
          </w:p>
        </w:tc>
      </w:tr>
      <w:tr>
        <w:tc>
          <w:tcPr>
            <w:tcW w:type="dxa" w:w="2268"/>
          </w:tcPr>
          <w:p>
            <w:r/>
            <w:r>
              <w:rPr>
                <w:sz w:val="19"/>
              </w:rPr>
              <w:t>¿De dónde sale?</w:t>
            </w:r>
          </w:p>
        </w:tc>
        <w:tc>
          <w:tcPr>
            <w:tcW w:type="dxa" w:w="7370"/>
          </w:tcPr>
          <w:p>
            <w:r/>
            <w:r>
              <w:rPr>
                <w:sz w:val="19"/>
              </w:rPr>
              <w:t>Damodaran betaGlobal.xls (5-ene-2026); regresión: valuation/inputs/beta_regression.json. Selector en Supuestos_WACC fila 13.</w:t>
            </w:r>
          </w:p>
        </w:tc>
      </w:tr>
      <w:tr>
        <w:tc>
          <w:tcPr>
            <w:tcW w:type="dxa" w:w="2268"/>
          </w:tcPr>
          <w:p>
            <w:r/>
            <w:r>
              <w:rPr>
                <w:sz w:val="19"/>
              </w:rPr>
              <w:t>¿Qué efecto tiene?</w:t>
            </w:r>
          </w:p>
        </w:tc>
        <w:tc>
          <w:tcPr>
            <w:tcW w:type="dxa" w:w="7370"/>
          </w:tcPr>
          <w:p>
            <w:r/>
            <w:r>
              <w:rPr>
                <w:sz w:val="19"/>
              </w:rPr>
              <w:t>Si se usara la beta de peers (reapalancada ~0.32), el WACC bajaría ~1.2 pp y el valor subiría mucho: es la decisión más sensible del WACC.</w:t>
            </w:r>
          </w:p>
        </w:tc>
      </w:tr>
    </w:tbl>
    <w:p/>
    <w:p>
      <w:pPr>
        <w:pStyle w:val="Heading3"/>
      </w:pPr>
      <w:r>
        <w:t>Costo de la deuda Kd = 9.71% antes de impuestos; tasa fiscal 30%</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Lo que pagaría Bimbo hoy por deuda nueva a 10 años, y la tasa con la que los intereses ahorran impuestos.</w:t>
            </w:r>
          </w:p>
        </w:tc>
      </w:tr>
      <w:tr>
        <w:tc>
          <w:tcPr>
            <w:tcW w:type="dxa" w:w="2268"/>
          </w:tcPr>
          <w:p>
            <w:r/>
            <w:r>
              <w:rPr>
                <w:sz w:val="19"/>
              </w:rPr>
              <w:t>¿Por qué la usamos?</w:t>
            </w:r>
          </w:p>
        </w:tc>
        <w:tc>
          <w:tcPr>
            <w:tcW w:type="dxa" w:w="7370"/>
          </w:tcPr>
          <w:p>
            <w:r/>
            <w:r>
              <w:rPr>
                <w:sz w:val="19"/>
              </w:rPr>
              <w:t>Capital IQ no devolvió rendimientos de los bonos de Bimbo, así que la plantilla no podía promediar 'los últimos 5 bonos'. Se usa el M-Bono más el spread de emisión del BIMBO 26 (vence 2035). El escudo fiscal se gana a la tasa marginal (30%), no a la efectiva promedio (31.6%) que usaba la plantilla.</w:t>
            </w:r>
          </w:p>
        </w:tc>
      </w:tr>
      <w:tr>
        <w:tc>
          <w:tcPr>
            <w:tcW w:type="dxa" w:w="2268"/>
          </w:tcPr>
          <w:p>
            <w:r/>
            <w:r>
              <w:rPr>
                <w:sz w:val="19"/>
              </w:rPr>
              <w:t>¿De dónde sale?</w:t>
            </w:r>
          </w:p>
        </w:tc>
        <w:tc>
          <w:tcPr>
            <w:tcW w:type="dxa" w:w="7370"/>
          </w:tcPr>
          <w:p>
            <w:r/>
            <w:r>
              <w:rPr>
                <w:sz w:val="19"/>
              </w:rPr>
              <w:t>M-Bono 9.26% + 0.45% (valuation/inputs/wacc_inputs.yaml J2-B); ISR 30%. Calificación S&amp;P BBB+.</w:t>
            </w:r>
          </w:p>
        </w:tc>
      </w:tr>
      <w:tr>
        <w:tc>
          <w:tcPr>
            <w:tcW w:type="dxa" w:w="2268"/>
          </w:tcPr>
          <w:p>
            <w:r/>
            <w:r>
              <w:rPr>
                <w:sz w:val="19"/>
              </w:rPr>
              <w:t>¿Qué efecto tiene?</w:t>
            </w:r>
          </w:p>
        </w:tc>
        <w:tc>
          <w:tcPr>
            <w:tcW w:type="dxa" w:w="7370"/>
          </w:tcPr>
          <w:p>
            <w:r/>
            <w:r>
              <w:rPr>
                <w:sz w:val="19"/>
              </w:rPr>
              <w:t>Kd después de impuestos 6.80%; +0.5 pp de spread ≈ +0.15 pp de WACC.</w:t>
            </w:r>
          </w:p>
        </w:tc>
      </w:tr>
    </w:tbl>
    <w:p/>
    <w:p>
      <w:pPr>
        <w:pStyle w:val="Heading3"/>
      </w:pPr>
      <w:r>
        <w:t>Estructura de capital: D/E = 0.743 (deuda 42.6%)</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Proporción de deuda y capital a valores de mercado.</w:t>
            </w:r>
          </w:p>
        </w:tc>
      </w:tr>
      <w:tr>
        <w:tc>
          <w:tcPr>
            <w:tcW w:type="dxa" w:w="2268"/>
          </w:tcPr>
          <w:p>
            <w:r/>
            <w:r>
              <w:rPr>
                <w:sz w:val="19"/>
              </w:rPr>
              <w:t>¿Por qué la usamos?</w:t>
            </w:r>
          </w:p>
        </w:tc>
        <w:tc>
          <w:tcPr>
            <w:tcW w:type="dxa" w:w="7370"/>
          </w:tcPr>
          <w:p>
            <w:r/>
            <w:r>
              <w:rPr>
                <w:sz w:val="19"/>
              </w:rPr>
              <w:t>Se usa la estructura actual como objetivo (la v3 la propone; la empresa tiene un rango cómodo de 2.0-2.5x deuda neta/EBITDA). La deuda incluye arrendamientos IFRS 16, igual que en el DCF.</w:t>
            </w:r>
          </w:p>
        </w:tc>
      </w:tr>
      <w:tr>
        <w:tc>
          <w:tcPr>
            <w:tcW w:type="dxa" w:w="2268"/>
          </w:tcPr>
          <w:p>
            <w:r/>
            <w:r>
              <w:rPr>
                <w:sz w:val="19"/>
              </w:rPr>
              <w:t>¿De dónde sale?</w:t>
            </w:r>
          </w:p>
        </w:tc>
        <w:tc>
          <w:tcPr>
            <w:tcW w:type="dxa" w:w="7370"/>
          </w:tcPr>
          <w:p>
            <w:r/>
            <w:r>
              <w:rPr>
                <w:sz w:val="19"/>
              </w:rPr>
              <w:t>Deuda 153,660 + arrendamientos 33,361 (30-jun-2026) / capitalización 251,684 (58.60 x 4,294.9 m acciones).</w:t>
            </w:r>
          </w:p>
        </w:tc>
      </w:tr>
      <w:tr>
        <w:tc>
          <w:tcPr>
            <w:tcW w:type="dxa" w:w="2268"/>
          </w:tcPr>
          <w:p>
            <w:r/>
            <w:r>
              <w:rPr>
                <w:sz w:val="19"/>
              </w:rPr>
              <w:t>¿Qué efecto tiene?</w:t>
            </w:r>
          </w:p>
        </w:tc>
        <w:tc>
          <w:tcPr>
            <w:tcW w:type="dxa" w:w="7370"/>
          </w:tcPr>
          <w:p>
            <w:r/>
            <w:r>
              <w:rPr>
                <w:sz w:val="19"/>
              </w:rPr>
              <w:t>Más deuda baja el WACC (Kd &lt; ke) pero sube la beta reapalancada.</w:t>
            </w:r>
          </w:p>
        </w:tc>
      </w:tr>
    </w:tbl>
    <w:p/>
    <w:p>
      <w:pPr>
        <w:pStyle w:val="Heading1"/>
      </w:pPr>
      <w:r>
        <w:t>4. DCF: metodología y decisiones</w:t>
      </w:r>
    </w:p>
    <w:p>
      <w:r>
        <w:rPr>
          <w:i w:val="0"/>
        </w:rPr>
        <w:t>Método: flujo libre para la empresa (FCFF) = NOPAT + D&amp;A - (capex + arrendamientos nuevos) ± cambio en capital de trabajo, descontado al WACC. Horizonte explícito de la plantilla: 2S26 (periodo parcial de 184 días) a 2030; valor terminal con múltiplo EV/EBITDA (método de la plantilla) y, como complemento, Gordon.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2551"/>
            <w:shd w:val="clear" w:color="auto" w:fill="1F3864"/>
          </w:tcPr>
          <w:p>
            <w:r/>
            <w:r>
              <w:rPr>
                <w:b/>
                <w:color w:val="FFFFFF"/>
                <w:sz w:val="17"/>
              </w:rPr>
              <w:t>MXN m</w:t>
            </w:r>
          </w:p>
        </w:tc>
        <w:tc>
          <w:tcPr>
            <w:tcW w:type="dxa" w:w="1191"/>
            <w:shd w:val="clear" w:color="auto" w:fill="1F3864"/>
          </w:tcPr>
          <w:p>
            <w:r/>
            <w:r>
              <w:rPr>
                <w:b/>
                <w:color w:val="FFFFFF"/>
                <w:sz w:val="17"/>
              </w:rPr>
              <w:t>FY2025A</w:t>
            </w:r>
          </w:p>
        </w:tc>
        <w:tc>
          <w:tcPr>
            <w:tcW w:type="dxa" w:w="1191"/>
            <w:shd w:val="clear" w:color="auto" w:fill="1F3864"/>
          </w:tcPr>
          <w:p>
            <w:r/>
            <w:r>
              <w:rPr>
                <w:b/>
                <w:color w:val="FFFFFF"/>
                <w:sz w:val="17"/>
              </w:rPr>
              <w:t>FY2026E</w:t>
            </w:r>
          </w:p>
        </w:tc>
        <w:tc>
          <w:tcPr>
            <w:tcW w:type="dxa" w:w="1191"/>
            <w:shd w:val="clear" w:color="auto" w:fill="1F3864"/>
          </w:tcPr>
          <w:p>
            <w:r/>
            <w:r>
              <w:rPr>
                <w:b/>
                <w:color w:val="FFFFFF"/>
                <w:sz w:val="17"/>
              </w:rPr>
              <w:t>FY2027E</w:t>
            </w:r>
          </w:p>
        </w:tc>
        <w:tc>
          <w:tcPr>
            <w:tcW w:type="dxa" w:w="1191"/>
            <w:shd w:val="clear" w:color="auto" w:fill="1F3864"/>
          </w:tcPr>
          <w:p>
            <w:r/>
            <w:r>
              <w:rPr>
                <w:b/>
                <w:color w:val="FFFFFF"/>
                <w:sz w:val="17"/>
              </w:rPr>
              <w:t>FY2028E</w:t>
            </w:r>
          </w:p>
        </w:tc>
        <w:tc>
          <w:tcPr>
            <w:tcW w:type="dxa" w:w="1191"/>
            <w:shd w:val="clear" w:color="auto" w:fill="1F3864"/>
          </w:tcPr>
          <w:p>
            <w:r/>
            <w:r>
              <w:rPr>
                <w:b/>
                <w:color w:val="FFFFFF"/>
                <w:sz w:val="17"/>
              </w:rPr>
              <w:t>FY2029E</w:t>
            </w:r>
          </w:p>
        </w:tc>
        <w:tc>
          <w:tcPr>
            <w:tcW w:type="dxa" w:w="1191"/>
            <w:shd w:val="clear" w:color="auto" w:fill="1F3864"/>
          </w:tcPr>
          <w:p>
            <w:r/>
            <w:r>
              <w:rPr>
                <w:b/>
                <w:color w:val="FFFFFF"/>
                <w:sz w:val="17"/>
              </w:rPr>
              <w:t>FY2030E</w:t>
            </w:r>
          </w:p>
        </w:tc>
      </w:tr>
      <w:tr>
        <w:tc>
          <w:tcPr>
            <w:tcW w:type="dxa" w:w="2551"/>
          </w:tcPr>
          <w:p>
            <w:r/>
            <w:r>
              <w:rPr>
                <w:sz w:val="17"/>
              </w:rPr>
              <w:t>Ventas</w:t>
            </w:r>
          </w:p>
        </w:tc>
        <w:tc>
          <w:tcPr>
            <w:tcW w:type="dxa" w:w="1191"/>
          </w:tcPr>
          <w:p>
            <w:r/>
            <w:r>
              <w:rPr>
                <w:sz w:val="17"/>
              </w:rPr>
              <w:t>426,952</w:t>
            </w:r>
          </w:p>
        </w:tc>
        <w:tc>
          <w:tcPr>
            <w:tcW w:type="dxa" w:w="1191"/>
          </w:tcPr>
          <w:p>
            <w:r/>
            <w:r>
              <w:rPr>
                <w:sz w:val="17"/>
              </w:rPr>
              <w:t>423,483</w:t>
            </w:r>
          </w:p>
        </w:tc>
        <w:tc>
          <w:tcPr>
            <w:tcW w:type="dxa" w:w="1191"/>
          </w:tcPr>
          <w:p>
            <w:r/>
            <w:r>
              <w:rPr>
                <w:sz w:val="17"/>
              </w:rPr>
              <w:t>442,713</w:t>
            </w:r>
          </w:p>
        </w:tc>
        <w:tc>
          <w:tcPr>
            <w:tcW w:type="dxa" w:w="1191"/>
          </w:tcPr>
          <w:p>
            <w:r/>
            <w:r>
              <w:rPr>
                <w:sz w:val="17"/>
              </w:rPr>
              <w:t>462,220</w:t>
            </w:r>
          </w:p>
        </w:tc>
        <w:tc>
          <w:tcPr>
            <w:tcW w:type="dxa" w:w="1191"/>
          </w:tcPr>
          <w:p>
            <w:r/>
            <w:r>
              <w:rPr>
                <w:sz w:val="17"/>
              </w:rPr>
              <w:t>482,656</w:t>
            </w:r>
          </w:p>
        </w:tc>
        <w:tc>
          <w:tcPr>
            <w:tcW w:type="dxa" w:w="1191"/>
          </w:tcPr>
          <w:p>
            <w:r/>
            <w:r>
              <w:rPr>
                <w:sz w:val="17"/>
              </w:rPr>
              <w:t>504,070</w:t>
            </w:r>
          </w:p>
        </w:tc>
      </w:tr>
      <w:tr>
        <w:tc>
          <w:tcPr>
            <w:tcW w:type="dxa" w:w="2551"/>
          </w:tcPr>
          <w:p>
            <w:r/>
            <w:r>
              <w:rPr>
                <w:sz w:val="17"/>
              </w:rPr>
              <w:t>Crecimiento</w:t>
            </w:r>
          </w:p>
        </w:tc>
        <w:tc>
          <w:tcPr>
            <w:tcW w:type="dxa" w:w="1191"/>
          </w:tcPr>
          <w:p>
            <w:r/>
            <w:r>
              <w:rPr>
                <w:sz w:val="17"/>
              </w:rPr>
              <w:t>4.6%</w:t>
            </w:r>
          </w:p>
        </w:tc>
        <w:tc>
          <w:tcPr>
            <w:tcW w:type="dxa" w:w="1191"/>
          </w:tcPr>
          <w:p>
            <w:r/>
            <w:r>
              <w:rPr>
                <w:sz w:val="17"/>
              </w:rPr>
              <w:t>-0.8%</w:t>
            </w:r>
          </w:p>
        </w:tc>
        <w:tc>
          <w:tcPr>
            <w:tcW w:type="dxa" w:w="1191"/>
          </w:tcPr>
          <w:p>
            <w:r/>
            <w:r>
              <w:rPr>
                <w:sz w:val="17"/>
              </w:rPr>
              <w:t>4.5%</w:t>
            </w:r>
          </w:p>
        </w:tc>
        <w:tc>
          <w:tcPr>
            <w:tcW w:type="dxa" w:w="1191"/>
          </w:tcPr>
          <w:p>
            <w:r/>
            <w:r>
              <w:rPr>
                <w:sz w:val="17"/>
              </w:rPr>
              <w:t>4.4%</w:t>
            </w:r>
          </w:p>
        </w:tc>
        <w:tc>
          <w:tcPr>
            <w:tcW w:type="dxa" w:w="1191"/>
          </w:tcPr>
          <w:p>
            <w:r/>
            <w:r>
              <w:rPr>
                <w:sz w:val="17"/>
              </w:rPr>
              <w:t>4.4%</w:t>
            </w:r>
          </w:p>
        </w:tc>
        <w:tc>
          <w:tcPr>
            <w:tcW w:type="dxa" w:w="1191"/>
          </w:tcPr>
          <w:p>
            <w:r/>
            <w:r>
              <w:rPr>
                <w:sz w:val="17"/>
              </w:rPr>
              <w:t>4.4%</w:t>
            </w:r>
          </w:p>
        </w:tc>
      </w:tr>
      <w:tr>
        <w:tc>
          <w:tcPr>
            <w:tcW w:type="dxa" w:w="2551"/>
          </w:tcPr>
          <w:p>
            <w:r/>
            <w:r>
              <w:rPr>
                <w:sz w:val="17"/>
              </w:rPr>
              <w:t>Margen EBITDA</w:t>
            </w:r>
          </w:p>
        </w:tc>
        <w:tc>
          <w:tcPr>
            <w:tcW w:type="dxa" w:w="1191"/>
          </w:tcPr>
          <w:p>
            <w:r/>
            <w:r>
              <w:rPr>
                <w:sz w:val="17"/>
              </w:rPr>
              <w:t>13.8%</w:t>
            </w:r>
          </w:p>
        </w:tc>
        <w:tc>
          <w:tcPr>
            <w:tcW w:type="dxa" w:w="1191"/>
          </w:tcPr>
          <w:p>
            <w:r/>
            <w:r>
              <w:rPr>
                <w:sz w:val="17"/>
              </w:rPr>
              <w:t>14.7%</w:t>
            </w:r>
          </w:p>
        </w:tc>
        <w:tc>
          <w:tcPr>
            <w:tcW w:type="dxa" w:w="1191"/>
          </w:tcPr>
          <w:p>
            <w:r/>
            <w:r>
              <w:rPr>
                <w:sz w:val="17"/>
              </w:rPr>
              <w:t>14.5%</w:t>
            </w:r>
          </w:p>
        </w:tc>
        <w:tc>
          <w:tcPr>
            <w:tcW w:type="dxa" w:w="1191"/>
          </w:tcPr>
          <w:p>
            <w:r/>
            <w:r>
              <w:rPr>
                <w:sz w:val="17"/>
              </w:rPr>
              <w:t>14.9%</w:t>
            </w:r>
          </w:p>
        </w:tc>
        <w:tc>
          <w:tcPr>
            <w:tcW w:type="dxa" w:w="1191"/>
          </w:tcPr>
          <w:p>
            <w:r/>
            <w:r>
              <w:rPr>
                <w:sz w:val="17"/>
              </w:rPr>
              <w:t>15.1%</w:t>
            </w:r>
          </w:p>
        </w:tc>
        <w:tc>
          <w:tcPr>
            <w:tcW w:type="dxa" w:w="1191"/>
          </w:tcPr>
          <w:p>
            <w:r/>
            <w:r>
              <w:rPr>
                <w:sz w:val="17"/>
              </w:rPr>
              <w:t>15.3%</w:t>
            </w:r>
          </w:p>
        </w:tc>
      </w:tr>
      <w:tr>
        <w:tc>
          <w:tcPr>
            <w:tcW w:type="dxa" w:w="2551"/>
          </w:tcPr>
          <w:p>
            <w:r/>
            <w:r>
              <w:rPr>
                <w:sz w:val="17"/>
              </w:rPr>
              <w:t>EBITDA</w:t>
            </w:r>
          </w:p>
        </w:tc>
        <w:tc>
          <w:tcPr>
            <w:tcW w:type="dxa" w:w="1191"/>
          </w:tcPr>
          <w:p>
            <w:r/>
            <w:r>
              <w:rPr>
                <w:sz w:val="17"/>
              </w:rPr>
              <w:t>58,984</w:t>
            </w:r>
          </w:p>
        </w:tc>
        <w:tc>
          <w:tcPr>
            <w:tcW w:type="dxa" w:w="1191"/>
          </w:tcPr>
          <w:p>
            <w:r/>
            <w:r>
              <w:rPr>
                <w:sz w:val="17"/>
              </w:rPr>
              <w:t>62,252</w:t>
            </w:r>
          </w:p>
        </w:tc>
        <w:tc>
          <w:tcPr>
            <w:tcW w:type="dxa" w:w="1191"/>
          </w:tcPr>
          <w:p>
            <w:r/>
            <w:r>
              <w:rPr>
                <w:sz w:val="17"/>
              </w:rPr>
              <w:t>64,193</w:t>
            </w:r>
          </w:p>
        </w:tc>
        <w:tc>
          <w:tcPr>
            <w:tcW w:type="dxa" w:w="1191"/>
          </w:tcPr>
          <w:p>
            <w:r/>
            <w:r>
              <w:rPr>
                <w:sz w:val="17"/>
              </w:rPr>
              <w:t>68,871</w:t>
            </w:r>
          </w:p>
        </w:tc>
        <w:tc>
          <w:tcPr>
            <w:tcW w:type="dxa" w:w="1191"/>
          </w:tcPr>
          <w:p>
            <w:r/>
            <w:r>
              <w:rPr>
                <w:sz w:val="17"/>
              </w:rPr>
              <w:t>72,881</w:t>
            </w:r>
          </w:p>
        </w:tc>
        <w:tc>
          <w:tcPr>
            <w:tcW w:type="dxa" w:w="1191"/>
          </w:tcPr>
          <w:p>
            <w:r/>
            <w:r>
              <w:rPr>
                <w:sz w:val="17"/>
              </w:rPr>
              <w:t>77,123</w:t>
            </w:r>
          </w:p>
        </w:tc>
      </w:tr>
      <w:tr>
        <w:tc>
          <w:tcPr>
            <w:tcW w:type="dxa" w:w="2551"/>
          </w:tcPr>
          <w:p>
            <w:r/>
            <w:r>
              <w:rPr>
                <w:sz w:val="17"/>
              </w:rPr>
              <w:t>Capex + arrendamientos / ventas</w:t>
            </w:r>
          </w:p>
        </w:tc>
        <w:tc>
          <w:tcPr>
            <w:tcW w:type="dxa" w:w="1191"/>
          </w:tcPr>
          <w:p>
            <w:r/>
            <w:r>
              <w:rPr>
                <w:sz w:val="17"/>
              </w:rPr>
            </w:r>
          </w:p>
        </w:tc>
        <w:tc>
          <w:tcPr>
            <w:tcW w:type="dxa" w:w="1191"/>
          </w:tcPr>
          <w:p>
            <w:r/>
            <w:r>
              <w:rPr>
                <w:sz w:val="17"/>
              </w:rPr>
              <w:t>5.9%</w:t>
            </w:r>
          </w:p>
        </w:tc>
        <w:tc>
          <w:tcPr>
            <w:tcW w:type="dxa" w:w="1191"/>
          </w:tcPr>
          <w:p>
            <w:r/>
            <w:r>
              <w:rPr>
                <w:sz w:val="17"/>
              </w:rPr>
              <w:t>6.7%</w:t>
            </w:r>
          </w:p>
        </w:tc>
        <w:tc>
          <w:tcPr>
            <w:tcW w:type="dxa" w:w="1191"/>
          </w:tcPr>
          <w:p>
            <w:r/>
            <w:r>
              <w:rPr>
                <w:sz w:val="17"/>
              </w:rPr>
              <w:t>6.9%</w:t>
            </w:r>
          </w:p>
        </w:tc>
        <w:tc>
          <w:tcPr>
            <w:tcW w:type="dxa" w:w="1191"/>
          </w:tcPr>
          <w:p>
            <w:r/>
            <w:r>
              <w:rPr>
                <w:sz w:val="17"/>
              </w:rPr>
              <w:t>7.1%</w:t>
            </w:r>
          </w:p>
        </w:tc>
        <w:tc>
          <w:tcPr>
            <w:tcW w:type="dxa" w:w="1191"/>
          </w:tcPr>
          <w:p>
            <w:r/>
            <w:r>
              <w:rPr>
                <w:sz w:val="17"/>
              </w:rPr>
              <w:t>7.2%</w:t>
            </w:r>
          </w:p>
        </w:tc>
      </w:tr>
      <w:tr>
        <w:tc>
          <w:tcPr>
            <w:tcW w:type="dxa" w:w="2551"/>
          </w:tcPr>
          <w:p>
            <w:r/>
            <w:r>
              <w:rPr>
                <w:sz w:val="17"/>
              </w:rPr>
              <w:t>Flujo libre (FCFF)</w:t>
            </w:r>
          </w:p>
        </w:tc>
        <w:tc>
          <w:tcPr>
            <w:tcW w:type="dxa" w:w="1191"/>
          </w:tcPr>
          <w:p>
            <w:r/>
            <w:r>
              <w:rPr>
                <w:sz w:val="17"/>
              </w:rPr>
            </w:r>
          </w:p>
        </w:tc>
        <w:tc>
          <w:tcPr>
            <w:tcW w:type="dxa" w:w="1191"/>
          </w:tcPr>
          <w:p>
            <w:r/>
            <w:r>
              <w:rPr>
                <w:sz w:val="17"/>
              </w:rPr>
              <w:t>24,444</w:t>
            </w:r>
          </w:p>
        </w:tc>
        <w:tc>
          <w:tcPr>
            <w:tcW w:type="dxa" w:w="1191"/>
          </w:tcPr>
          <w:p>
            <w:r/>
            <w:r>
              <w:rPr>
                <w:sz w:val="17"/>
              </w:rPr>
              <w:t>21,863</w:t>
            </w:r>
          </w:p>
        </w:tc>
        <w:tc>
          <w:tcPr>
            <w:tcW w:type="dxa" w:w="1191"/>
          </w:tcPr>
          <w:p>
            <w:r/>
            <w:r>
              <w:rPr>
                <w:sz w:val="17"/>
              </w:rPr>
              <w:t>22,821</w:t>
            </w:r>
          </w:p>
        </w:tc>
        <w:tc>
          <w:tcPr>
            <w:tcW w:type="dxa" w:w="1191"/>
          </w:tcPr>
          <w:p>
            <w:r/>
            <w:r>
              <w:rPr>
                <w:sz w:val="17"/>
              </w:rPr>
              <w:t>23,460</w:t>
            </w:r>
          </w:p>
        </w:tc>
        <w:tc>
          <w:tcPr>
            <w:tcW w:type="dxa" w:w="1191"/>
          </w:tcPr>
          <w:p>
            <w:r/>
            <w:r>
              <w:rPr>
                <w:sz w:val="17"/>
              </w:rPr>
              <w:t>24,762</w:t>
            </w:r>
          </w:p>
        </w:tc>
      </w:tr>
    </w:tbl>
    <w:p/>
    <w:p>
      <w:pPr>
        <w:pStyle w:val="Heading3"/>
      </w:pPr>
      <w:r>
        <w:t>Ventas por región, no un % único</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Cada región crece a su ritmo y la suma da el crecimiento total.</w:t>
            </w:r>
          </w:p>
        </w:tc>
      </w:tr>
      <w:tr>
        <w:tc>
          <w:tcPr>
            <w:tcW w:type="dxa" w:w="2268"/>
          </w:tcPr>
          <w:p>
            <w:r/>
            <w:r>
              <w:rPr>
                <w:sz w:val="19"/>
              </w:rPr>
              <w:t>¿Por qué la usamos?</w:t>
            </w:r>
          </w:p>
        </w:tc>
        <w:tc>
          <w:tcPr>
            <w:tcW w:type="dxa" w:w="7370"/>
          </w:tcPr>
          <w:p>
            <w:r/>
            <w:r>
              <w:rPr>
                <w:sz w:val="19"/>
              </w:rPr>
              <w:t>Norteamérica cae en 2026 en pesos (tipo de cambio y volumen) y luego crece ~3% (1.5% en USD + 1.5% de depreciación); México 5.25-5.5% (precio + volumen); LatAm 6.5-8.5% (inflación); EAA 4.5%.</w:t>
            </w:r>
          </w:p>
        </w:tc>
      </w:tr>
      <w:tr>
        <w:tc>
          <w:tcPr>
            <w:tcW w:type="dxa" w:w="2268"/>
          </w:tcPr>
          <w:p>
            <w:r/>
            <w:r>
              <w:rPr>
                <w:sz w:val="19"/>
              </w:rPr>
              <w:t>¿De dónde sale?</w:t>
            </w:r>
          </w:p>
        </w:tc>
        <w:tc>
          <w:tcPr>
            <w:tcW w:type="dxa" w:w="7370"/>
          </w:tcPr>
          <w:p>
            <w:r/>
            <w:r>
              <w:rPr>
                <w:sz w:val="19"/>
              </w:rPr>
              <w:t>Ventas FY2025 por segmento (EEFF25); crecimientos de model/drivers.yaml (v3) y guía 2026 de la empresa. Supuestos_DCF filas 32-44.</w:t>
            </w:r>
          </w:p>
        </w:tc>
      </w:tr>
      <w:tr>
        <w:tc>
          <w:tcPr>
            <w:tcW w:type="dxa" w:w="2268"/>
          </w:tcPr>
          <w:p>
            <w:r/>
            <w:r>
              <w:rPr>
                <w:sz w:val="19"/>
              </w:rPr>
              <w:t>¿Qué efecto tiene?</w:t>
            </w:r>
          </w:p>
        </w:tc>
        <w:tc>
          <w:tcPr>
            <w:tcW w:type="dxa" w:w="7370"/>
          </w:tcPr>
          <w:p>
            <w:r/>
            <w:r>
              <w:rPr>
                <w:sz w:val="19"/>
              </w:rPr>
              <w:t>+1 pp de crecimiento en todas las regiones y años = +MXN 4.2 (múltiplo) / +3.8 (Gordon) por acción.</w:t>
            </w:r>
          </w:p>
        </w:tc>
      </w:tr>
    </w:tbl>
    <w:p/>
    <w:p>
      <w:pPr>
        <w:pStyle w:val="Heading3"/>
      </w:pPr>
      <w:r>
        <w:t>Margen EBITDA = margen bruto - gastos + D&amp;A</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Cuánto de cada peso vendido queda como EBITDA.</w:t>
            </w:r>
          </w:p>
        </w:tc>
      </w:tr>
      <w:tr>
        <w:tc>
          <w:tcPr>
            <w:tcW w:type="dxa" w:w="2268"/>
          </w:tcPr>
          <w:p>
            <w:r/>
            <w:r>
              <w:rPr>
                <w:sz w:val="19"/>
              </w:rPr>
              <w:t>¿Por qué la usamos?</w:t>
            </w:r>
          </w:p>
        </w:tc>
        <w:tc>
          <w:tcPr>
            <w:tcW w:type="dxa" w:w="7370"/>
          </w:tcPr>
          <w:p>
            <w:r/>
            <w:r>
              <w:rPr>
                <w:sz w:val="19"/>
              </w:rPr>
              <w:t>Separa el costo del trigo (margen bruto: baja a 52.0% en 2027 por el alza del trigo, pilar 1) de la productividad (gastos: de 43.6% a 43.05%, pilar 2). El margen sube a 15.3% en 2030, arriba del mejor histórico limpio (14.4% en 2021): el equipo debe sustentar esa mejora.</w:t>
            </w:r>
          </w:p>
        </w:tc>
      </w:tr>
      <w:tr>
        <w:tc>
          <w:tcPr>
            <w:tcW w:type="dxa" w:w="2268"/>
          </w:tcPr>
          <w:p>
            <w:r/>
            <w:r>
              <w:rPr>
                <w:sz w:val="19"/>
              </w:rPr>
              <w:t>¿De dónde sale?</w:t>
            </w:r>
          </w:p>
        </w:tc>
        <w:tc>
          <w:tcPr>
            <w:tcW w:type="dxa" w:w="7370"/>
          </w:tcPr>
          <w:p>
            <w:r/>
            <w:r>
              <w:rPr>
                <w:sz w:val="19"/>
              </w:rPr>
              <w:t>model/drivers.yaml (v3). Supuestos_DCF filas 45-49.</w:t>
            </w:r>
          </w:p>
        </w:tc>
      </w:tr>
      <w:tr>
        <w:tc>
          <w:tcPr>
            <w:tcW w:type="dxa" w:w="2268"/>
          </w:tcPr>
          <w:p>
            <w:r/>
            <w:r>
              <w:rPr>
                <w:sz w:val="19"/>
              </w:rPr>
              <w:t>¿Qué efecto tiene?</w:t>
            </w:r>
          </w:p>
        </w:tc>
        <w:tc>
          <w:tcPr>
            <w:tcW w:type="dxa" w:w="7370"/>
          </w:tcPr>
          <w:p>
            <w:r/>
            <w:r>
              <w:rPr>
                <w:sz w:val="19"/>
              </w:rPr>
              <w:t>+1 pp de margen EBITDA en todos los años = +MXN 7.4 (múltiplo) / +11.5 (Gordon) por acción.</w:t>
            </w:r>
          </w:p>
        </w:tc>
      </w:tr>
    </w:tbl>
    <w:p/>
    <w:p>
      <w:pPr>
        <w:pStyle w:val="Heading3"/>
      </w:pPr>
      <w:r>
        <w:t>Capex y arrendamientos como inversión</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Dinero que se reinvierte para mantener y crecer la operación; bajo IFRS 16 los arrendamientos nuevos son inversión financiada con deuda.</w:t>
            </w:r>
          </w:p>
        </w:tc>
      </w:tr>
      <w:tr>
        <w:tc>
          <w:tcPr>
            <w:tcW w:type="dxa" w:w="2268"/>
          </w:tcPr>
          <w:p>
            <w:r/>
            <w:r>
              <w:rPr>
                <w:sz w:val="19"/>
              </w:rPr>
              <w:t>¿Por qué la usamos?</w:t>
            </w:r>
          </w:p>
        </w:tc>
        <w:tc>
          <w:tcPr>
            <w:tcW w:type="dxa" w:w="7370"/>
          </w:tcPr>
          <w:p>
            <w:r/>
            <w:r>
              <w:rPr>
                <w:sz w:val="19"/>
              </w:rPr>
              <w:t>Capex de 4.6% (guía 2026: US$1.0-1.2 mil millones) a 5.5% en 2030. Arrendamientos nuevos = principal + crecimiento del pasivo (8.15% de ventas). Como el flujo resta los arrendamientos nuevos, el puente resta el pasivo por arrendamiento: no hay doble conteo.</w:t>
            </w:r>
          </w:p>
        </w:tc>
      </w:tr>
      <w:tr>
        <w:tc>
          <w:tcPr>
            <w:tcW w:type="dxa" w:w="2268"/>
          </w:tcPr>
          <w:p>
            <w:r/>
            <w:r>
              <w:rPr>
                <w:sz w:val="19"/>
              </w:rPr>
              <w:t>¿De dónde sale?</w:t>
            </w:r>
          </w:p>
        </w:tc>
        <w:tc>
          <w:tcPr>
            <w:tcW w:type="dxa" w:w="7370"/>
          </w:tcPr>
          <w:p>
            <w:r/>
            <w:r>
              <w:rPr>
                <w:sz w:val="19"/>
              </w:rPr>
              <w:t>model/drivers.yaml; base publicada v3 (BIMBOA_DCF_v3.xlsx fila 178).</w:t>
            </w:r>
          </w:p>
        </w:tc>
      </w:tr>
      <w:tr>
        <w:tc>
          <w:tcPr>
            <w:tcW w:type="dxa" w:w="2268"/>
          </w:tcPr>
          <w:p>
            <w:r/>
            <w:r>
              <w:rPr>
                <w:sz w:val="19"/>
              </w:rPr>
              <w:t>¿Qué efecto tiene?</w:t>
            </w:r>
          </w:p>
        </w:tc>
        <w:tc>
          <w:tcPr>
            <w:tcW w:type="dxa" w:w="7370"/>
          </w:tcPr>
          <w:p>
            <w:r/>
            <w:r>
              <w:rPr>
                <w:sz w:val="19"/>
              </w:rPr>
              <w:t>Es la palanca más grande del valor terminal (±50 pb de capex ≈ ∓MXN 9 por acción en la v3).</w:t>
            </w:r>
          </w:p>
        </w:tc>
      </w:tr>
    </w:tbl>
    <w:p/>
    <w:p>
      <w:pPr>
        <w:pStyle w:val="Heading3"/>
      </w:pPr>
      <w:r>
        <w:t>Impuestos sobre EBIT = 34% (efectiva)</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Impuestos operativos para pasar de EBIT a NOPAT.</w:t>
            </w:r>
          </w:p>
        </w:tc>
      </w:tr>
      <w:tr>
        <w:tc>
          <w:tcPr>
            <w:tcW w:type="dxa" w:w="2268"/>
          </w:tcPr>
          <w:p>
            <w:r/>
            <w:r>
              <w:rPr>
                <w:sz w:val="19"/>
              </w:rPr>
              <w:t>¿Por qué la usamos?</w:t>
            </w:r>
          </w:p>
        </w:tc>
        <w:tc>
          <w:tcPr>
            <w:tcW w:type="dxa" w:w="7370"/>
          </w:tcPr>
          <w:p>
            <w:r/>
            <w:r>
              <w:rPr>
                <w:sz w:val="19"/>
              </w:rPr>
              <w:t>La tasa efectiva de Bimbo (33-36%, salvo 2022) es mayor que la estatutaria por gastos no deducibles y otras jurisdicciones. La plantilla usaba la misma tasa del WACC; se separó (celda DCF!F117).</w:t>
            </w:r>
          </w:p>
        </w:tc>
      </w:tr>
      <w:tr>
        <w:tc>
          <w:tcPr>
            <w:tcW w:type="dxa" w:w="2268"/>
          </w:tcPr>
          <w:p>
            <w:r/>
            <w:r>
              <w:rPr>
                <w:sz w:val="19"/>
              </w:rPr>
              <w:t>¿De dónde sale?</w:t>
            </w:r>
          </w:p>
        </w:tc>
        <w:tc>
          <w:tcPr>
            <w:tcW w:type="dxa" w:w="7370"/>
          </w:tcPr>
          <w:p>
            <w:r/>
            <w:r>
              <w:rPr>
                <w:sz w:val="19"/>
              </w:rPr>
              <w:t>model/drivers.yaml; historia en Datos_Bimbo.</w:t>
            </w:r>
          </w:p>
        </w:tc>
      </w:tr>
      <w:tr>
        <w:tc>
          <w:tcPr>
            <w:tcW w:type="dxa" w:w="2268"/>
          </w:tcPr>
          <w:p>
            <w:r/>
            <w:r>
              <w:rPr>
                <w:sz w:val="19"/>
              </w:rPr>
              <w:t>¿Qué efecto tiene?</w:t>
            </w:r>
          </w:p>
        </w:tc>
        <w:tc>
          <w:tcPr>
            <w:tcW w:type="dxa" w:w="7370"/>
          </w:tcPr>
          <w:p>
            <w:r/>
            <w:r>
              <w:rPr>
                <w:sz w:val="19"/>
              </w:rPr>
              <w:t>+1 pp de tasa = -MXN 0.4 (múltiplo) / -1.6 (Gordon) por acción.</w:t>
            </w:r>
          </w:p>
        </w:tc>
      </w:tr>
    </w:tbl>
    <w:p/>
    <w:p>
      <w:pPr>
        <w:pStyle w:val="Heading3"/>
      </w:pPr>
      <w:r>
        <w:t>Fecha de flujos 30-jun-2026 y convención de mitad de periodo</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Los flujos se descuentan desde el último balance publicado (2T26) y se supone que llegan a mitad de cada año.</w:t>
            </w:r>
          </w:p>
        </w:tc>
      </w:tr>
      <w:tr>
        <w:tc>
          <w:tcPr>
            <w:tcW w:type="dxa" w:w="2268"/>
          </w:tcPr>
          <w:p>
            <w:r/>
            <w:r>
              <w:rPr>
                <w:sz w:val="19"/>
              </w:rPr>
              <w:t>¿Por qué la usamos?</w:t>
            </w:r>
          </w:p>
        </w:tc>
        <w:tc>
          <w:tcPr>
            <w:tcW w:type="dxa" w:w="7370"/>
          </w:tcPr>
          <w:p>
            <w:r/>
            <w:r>
              <w:rPr>
                <w:sz w:val="19"/>
              </w:rPr>
              <w:t>Así el periodo parcial (2S26) y la deuda/efectivo están en la misma fecha. El valor resultante se lleva al 16-oct con (1 + ke)^(108/365) porque no hubo dividendos en ese lapso.</w:t>
            </w:r>
          </w:p>
        </w:tc>
      </w:tr>
      <w:tr>
        <w:tc>
          <w:tcPr>
            <w:tcW w:type="dxa" w:w="2268"/>
          </w:tcPr>
          <w:p>
            <w:r/>
            <w:r>
              <w:rPr>
                <w:sz w:val="19"/>
              </w:rPr>
              <w:t>¿De dónde sale?</w:t>
            </w:r>
          </w:p>
        </w:tc>
        <w:tc>
          <w:tcPr>
            <w:tcW w:type="dxa" w:w="7370"/>
          </w:tcPr>
          <w:p>
            <w:r/>
            <w:r>
              <w:rPr>
                <w:sz w:val="19"/>
              </w:rPr>
              <w:t>Reporte 2T26; Supuestos_DCF filas 6-8 y 64.</w:t>
            </w:r>
          </w:p>
        </w:tc>
      </w:tr>
      <w:tr>
        <w:tc>
          <w:tcPr>
            <w:tcW w:type="dxa" w:w="2268"/>
          </w:tcPr>
          <w:p>
            <w:r/>
            <w:r>
              <w:rPr>
                <w:sz w:val="19"/>
              </w:rPr>
              <w:t>¿Qué efecto tiene?</w:t>
            </w:r>
          </w:p>
        </w:tc>
        <w:tc>
          <w:tcPr>
            <w:tcW w:type="dxa" w:w="7370"/>
          </w:tcPr>
          <w:p>
            <w:r/>
            <w:r>
              <w:rPr>
                <w:sz w:val="19"/>
              </w:rPr>
              <w:t>Con fin de periodo el valor bajaría MXN 0.9 por acción.</w:t>
            </w:r>
          </w:p>
        </w:tc>
      </w:tr>
    </w:tbl>
    <w:p/>
    <w:p>
      <w:pPr>
        <w:pStyle w:val="Heading3"/>
      </w:pPr>
      <w:r>
        <w:t>Valor terminal: múltiplo 6.0x (plantilla) y Gordon con g = 4.25%</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El valor de la empresa después de 2030, que no se proyecta año por año.</w:t>
            </w:r>
          </w:p>
        </w:tc>
      </w:tr>
      <w:tr>
        <w:tc>
          <w:tcPr>
            <w:tcW w:type="dxa" w:w="2268"/>
          </w:tcPr>
          <w:p>
            <w:r/>
            <w:r>
              <w:rPr>
                <w:sz w:val="19"/>
              </w:rPr>
              <w:t>¿Por qué la usamos?</w:t>
            </w:r>
          </w:p>
        </w:tc>
        <w:tc>
          <w:tcPr>
            <w:tcW w:type="dxa" w:w="7370"/>
          </w:tcPr>
          <w:p>
            <w:r/>
            <w:r>
              <w:rPr>
                <w:sz w:val="19"/>
              </w:rPr>
              <w:t>Múltiplo: arriba de las panificadoras núcleo (5.53x) por México, debajo de todos los peers (8.27x). La plantilla traía el múltiplo histórico de Capital IQ; se reemplazó por el supuesto del equipo. Gordon: g por debajo del PIB nominal de largo plazo de México (~5%).</w:t>
            </w:r>
          </w:p>
        </w:tc>
      </w:tr>
      <w:tr>
        <w:tc>
          <w:tcPr>
            <w:tcW w:type="dxa" w:w="2268"/>
          </w:tcPr>
          <w:p>
            <w:r/>
            <w:r>
              <w:rPr>
                <w:sz w:val="19"/>
              </w:rPr>
              <w:t>¿De dónde sale?</w:t>
            </w:r>
          </w:p>
        </w:tc>
        <w:tc>
          <w:tcPr>
            <w:tcW w:type="dxa" w:w="7370"/>
          </w:tcPr>
          <w:p>
            <w:r/>
            <w:r>
              <w:rPr>
                <w:sz w:val="19"/>
              </w:rPr>
              <w:t>Bimbo_Financials_Peers.xlsx; FMI WEO oct-2026 y encuesta Banxico; propuesta v3.</w:t>
            </w:r>
          </w:p>
        </w:tc>
      </w:tr>
      <w:tr>
        <w:tc>
          <w:tcPr>
            <w:tcW w:type="dxa" w:w="2268"/>
          </w:tcPr>
          <w:p>
            <w:r/>
            <w:r>
              <w:rPr>
                <w:sz w:val="19"/>
              </w:rPr>
              <w:t>¿Qué efecto tiene?</w:t>
            </w:r>
          </w:p>
        </w:tc>
        <w:tc>
          <w:tcPr>
            <w:tcW w:type="dxa" w:w="7370"/>
          </w:tcPr>
          <w:p>
            <w:r/>
            <w:r>
              <w:rPr>
                <w:sz w:val="19"/>
              </w:rPr>
              <w:t>El múltiplo 6.0x implica g = 4.72%; Gordon implica un múltiplo de 5.51x. Ambos coinciden en que el valor está debajo del precio.</w:t>
            </w:r>
          </w:p>
        </w:tc>
      </w:tr>
    </w:tbl>
    <w:p/>
    <w:p>
      <w:pPr>
        <w:pStyle w:val="Heading3"/>
      </w:pPr>
      <w:r>
        <w:t>Puente de valor de empresa a valor del capital</w:t>
      </w:r>
    </w:p>
    <w:tbl>
      <w:tblPr>
        <w:tblStyle w:val="TableGrid"/>
        <w:tblW w:type="auto" w:w="0"/>
        <w:jc w:val="center"/>
        <w:tblLook w:firstColumn="1" w:firstRow="1" w:lastColumn="0" w:lastRow="0" w:noHBand="0" w:noVBand="1" w:val="04A0"/>
      </w:tblPr>
      <w:tblGrid>
        <w:gridCol w:w="4819"/>
        <w:gridCol w:w="4819"/>
      </w:tblGrid>
      <w:tr>
        <w:tc>
          <w:tcPr>
            <w:tcW w:type="dxa" w:w="2268"/>
          </w:tcPr>
          <w:p>
            <w:r/>
            <w:r>
              <w:rPr>
                <w:sz w:val="19"/>
              </w:rPr>
              <w:t>¿Qué significa?</w:t>
            </w:r>
          </w:p>
        </w:tc>
        <w:tc>
          <w:tcPr>
            <w:tcW w:type="dxa" w:w="7370"/>
          </w:tcPr>
          <w:p>
            <w:r/>
            <w:r>
              <w:rPr>
                <w:sz w:val="19"/>
              </w:rPr>
              <w:t>Del valor de toda la empresa se restan los derechos de otros (deuda, minoritarios) para llegar al de los accionistas.</w:t>
            </w:r>
          </w:p>
        </w:tc>
      </w:tr>
      <w:tr>
        <w:tc>
          <w:tcPr>
            <w:tcW w:type="dxa" w:w="2268"/>
          </w:tcPr>
          <w:p>
            <w:r/>
            <w:r>
              <w:rPr>
                <w:sz w:val="19"/>
              </w:rPr>
              <w:t>¿Por qué la usamos?</w:t>
            </w:r>
          </w:p>
        </w:tc>
        <w:tc>
          <w:tcPr>
            <w:tcW w:type="dxa" w:w="7370"/>
          </w:tcPr>
          <w:p>
            <w:r/>
            <w:r>
              <w:rPr>
                <w:sz w:val="19"/>
              </w:rPr>
              <w:t>Se resta deuda financiera + arrendamientos (187,021), se suma efectivo (16,563), se resta la participación no controladora a valor de mercado (18,243 = utilidad NCI 1,814 / (ke - 3%), porque los operadores de BBU retiran cada año más que su utilidad) y se ajustan asociadas (+6,498) e ISR estacional (-4,538). Gordon además resta pensiones, provisiones y derivados (18,135); el múltiplo no, porque los EV de los peers tampoco los incluyen.</w:t>
            </w:r>
          </w:p>
        </w:tc>
      </w:tr>
      <w:tr>
        <w:tc>
          <w:tcPr>
            <w:tcW w:type="dxa" w:w="2268"/>
          </w:tcPr>
          <w:p>
            <w:r/>
            <w:r>
              <w:rPr>
                <w:sz w:val="19"/>
              </w:rPr>
              <w:t>¿De dónde sale?</w:t>
            </w:r>
          </w:p>
        </w:tc>
        <w:tc>
          <w:tcPr>
            <w:tcW w:type="dxa" w:w="7370"/>
          </w:tcPr>
          <w:p>
            <w:r/>
            <w:r>
              <w:rPr>
                <w:sz w:val="19"/>
              </w:rPr>
              <w:t>Reporte 2T26 (BMV XBRL); EEFF25 notas 18-19; valuation.md §5 (v3).</w:t>
            </w:r>
          </w:p>
        </w:tc>
      </w:tr>
      <w:tr>
        <w:tc>
          <w:tcPr>
            <w:tcW w:type="dxa" w:w="2268"/>
          </w:tcPr>
          <w:p>
            <w:r/>
            <w:r>
              <w:rPr>
                <w:sz w:val="19"/>
              </w:rPr>
              <w:t>¿Qué efecto tiene?</w:t>
            </w:r>
          </w:p>
        </w:tc>
        <w:tc>
          <w:tcPr>
            <w:tcW w:type="dxa" w:w="7370"/>
          </w:tcPr>
          <w:p>
            <w:r/>
            <w:r>
              <w:rPr>
                <w:sz w:val="19"/>
              </w:rPr>
              <w:t>NCI a mercado en vez de libros: -MXN 4.1 por acción. Es un juicio provisional del equipo.</w:t>
            </w:r>
          </w:p>
        </w:tc>
      </w:tr>
    </w:tbl>
    <w:p/>
    <w:p>
      <w:pPr>
        <w:pStyle w:val="Heading3"/>
      </w:pPr>
      <w:r>
        <w:t>Sensibilidad del valor por acción (Gordon, al 16-oct-2026)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701"/>
            <w:shd w:val="clear" w:color="auto" w:fill="1F3864"/>
          </w:tcPr>
          <w:p>
            <w:r/>
            <w:r>
              <w:rPr>
                <w:b/>
                <w:color w:val="FFFFFF"/>
                <w:sz w:val="18"/>
              </w:rPr>
              <w:t>WACC \ g</w:t>
            </w:r>
          </w:p>
        </w:tc>
        <w:tc>
          <w:tcPr>
            <w:tcW w:type="dxa" w:w="1361"/>
            <w:shd w:val="clear" w:color="auto" w:fill="1F3864"/>
          </w:tcPr>
          <w:p>
            <w:r/>
            <w:r>
              <w:rPr>
                <w:b/>
                <w:color w:val="FFFFFF"/>
                <w:sz w:val="18"/>
              </w:rPr>
              <w:t>3.25%</w:t>
            </w:r>
          </w:p>
        </w:tc>
        <w:tc>
          <w:tcPr>
            <w:tcW w:type="dxa" w:w="1361"/>
            <w:shd w:val="clear" w:color="auto" w:fill="1F3864"/>
          </w:tcPr>
          <w:p>
            <w:r/>
            <w:r>
              <w:rPr>
                <w:b/>
                <w:color w:val="FFFFFF"/>
                <w:sz w:val="18"/>
              </w:rPr>
              <w:t>3.75%</w:t>
            </w:r>
          </w:p>
        </w:tc>
        <w:tc>
          <w:tcPr>
            <w:tcW w:type="dxa" w:w="1361"/>
            <w:shd w:val="clear" w:color="auto" w:fill="1F3864"/>
          </w:tcPr>
          <w:p>
            <w:r/>
            <w:r>
              <w:rPr>
                <w:b/>
                <w:color w:val="FFFFFF"/>
                <w:sz w:val="18"/>
              </w:rPr>
              <w:t>4.25%</w:t>
            </w:r>
          </w:p>
        </w:tc>
        <w:tc>
          <w:tcPr>
            <w:tcW w:type="dxa" w:w="1361"/>
            <w:shd w:val="clear" w:color="auto" w:fill="1F3864"/>
          </w:tcPr>
          <w:p>
            <w:r/>
            <w:r>
              <w:rPr>
                <w:b/>
                <w:color w:val="FFFFFF"/>
                <w:sz w:val="18"/>
              </w:rPr>
              <w:t>4.75%</w:t>
            </w:r>
          </w:p>
        </w:tc>
        <w:tc>
          <w:tcPr>
            <w:tcW w:type="dxa" w:w="1361"/>
            <w:shd w:val="clear" w:color="auto" w:fill="1F3864"/>
          </w:tcPr>
          <w:p>
            <w:r/>
            <w:r>
              <w:rPr>
                <w:b/>
                <w:color w:val="FFFFFF"/>
                <w:sz w:val="18"/>
              </w:rPr>
              <w:t>5.25%</w:t>
            </w:r>
          </w:p>
        </w:tc>
      </w:tr>
      <w:tr>
        <w:tc>
          <w:tcPr>
            <w:tcW w:type="dxa" w:w="1701"/>
          </w:tcPr>
          <w:p>
            <w:r/>
            <w:r>
              <w:rPr>
                <w:sz w:val="18"/>
              </w:rPr>
              <w:t>9.32%</w:t>
            </w:r>
          </w:p>
        </w:tc>
        <w:tc>
          <w:tcPr>
            <w:tcW w:type="dxa" w:w="1361"/>
          </w:tcPr>
          <w:p>
            <w:r/>
            <w:r>
              <w:rPr>
                <w:sz w:val="18"/>
              </w:rPr>
              <w:t>39.4</w:t>
            </w:r>
          </w:p>
        </w:tc>
        <w:tc>
          <w:tcPr>
            <w:tcW w:type="dxa" w:w="1361"/>
          </w:tcPr>
          <w:p>
            <w:r/>
            <w:r>
              <w:rPr>
                <w:sz w:val="18"/>
              </w:rPr>
              <w:t>45.9</w:t>
            </w:r>
          </w:p>
        </w:tc>
        <w:tc>
          <w:tcPr>
            <w:tcW w:type="dxa" w:w="1361"/>
          </w:tcPr>
          <w:p>
            <w:r/>
            <w:r>
              <w:rPr>
                <w:sz w:val="18"/>
              </w:rPr>
              <w:t>53.6</w:t>
            </w:r>
          </w:p>
        </w:tc>
        <w:tc>
          <w:tcPr>
            <w:tcW w:type="dxa" w:w="1361"/>
          </w:tcPr>
          <w:p>
            <w:r/>
            <w:r>
              <w:rPr>
                <w:sz w:val="18"/>
              </w:rPr>
              <w:t>63.0</w:t>
            </w:r>
          </w:p>
        </w:tc>
        <w:tc>
          <w:tcPr>
            <w:tcW w:type="dxa" w:w="1361"/>
          </w:tcPr>
          <w:p>
            <w:r/>
            <w:r>
              <w:rPr>
                <w:sz w:val="18"/>
              </w:rPr>
              <w:t>74.8</w:t>
            </w:r>
          </w:p>
        </w:tc>
      </w:tr>
      <w:tr>
        <w:tc>
          <w:tcPr>
            <w:tcW w:type="dxa" w:w="1701"/>
          </w:tcPr>
          <w:p>
            <w:r/>
            <w:r>
              <w:rPr>
                <w:sz w:val="18"/>
              </w:rPr>
              <w:t>9.82%</w:t>
            </w:r>
          </w:p>
        </w:tc>
        <w:tc>
          <w:tcPr>
            <w:tcW w:type="dxa" w:w="1361"/>
          </w:tcPr>
          <w:p>
            <w:r/>
            <w:r>
              <w:rPr>
                <w:sz w:val="18"/>
              </w:rPr>
              <w:t>32.8</w:t>
            </w:r>
          </w:p>
        </w:tc>
        <w:tc>
          <w:tcPr>
            <w:tcW w:type="dxa" w:w="1361"/>
          </w:tcPr>
          <w:p>
            <w:r/>
            <w:r>
              <w:rPr>
                <w:sz w:val="18"/>
              </w:rPr>
              <w:t>38.2</w:t>
            </w:r>
          </w:p>
        </w:tc>
        <w:tc>
          <w:tcPr>
            <w:tcW w:type="dxa" w:w="1361"/>
          </w:tcPr>
          <w:p>
            <w:r/>
            <w:r>
              <w:rPr>
                <w:sz w:val="18"/>
              </w:rPr>
              <w:t>44.5</w:t>
            </w:r>
          </w:p>
        </w:tc>
        <w:tc>
          <w:tcPr>
            <w:tcW w:type="dxa" w:w="1361"/>
          </w:tcPr>
          <w:p>
            <w:r/>
            <w:r>
              <w:rPr>
                <w:sz w:val="18"/>
              </w:rPr>
              <w:t>52.1</w:t>
            </w:r>
          </w:p>
        </w:tc>
        <w:tc>
          <w:tcPr>
            <w:tcW w:type="dxa" w:w="1361"/>
          </w:tcPr>
          <w:p>
            <w:r/>
            <w:r>
              <w:rPr>
                <w:sz w:val="18"/>
              </w:rPr>
              <w:t>61.4</w:t>
            </w:r>
          </w:p>
        </w:tc>
      </w:tr>
      <w:tr>
        <w:tc>
          <w:tcPr>
            <w:tcW w:type="dxa" w:w="1701"/>
          </w:tcPr>
          <w:p>
            <w:r/>
            <w:r>
              <w:rPr>
                <w:sz w:val="18"/>
              </w:rPr>
              <w:t>10.32%</w:t>
            </w:r>
          </w:p>
        </w:tc>
        <w:tc>
          <w:tcPr>
            <w:tcW w:type="dxa" w:w="1361"/>
          </w:tcPr>
          <w:p>
            <w:r/>
            <w:r>
              <w:rPr>
                <w:sz w:val="18"/>
              </w:rPr>
              <w:t>27.1</w:t>
            </w:r>
          </w:p>
        </w:tc>
        <w:tc>
          <w:tcPr>
            <w:tcW w:type="dxa" w:w="1361"/>
          </w:tcPr>
          <w:p>
            <w:r/>
            <w:r>
              <w:rPr>
                <w:sz w:val="18"/>
              </w:rPr>
              <w:t>31.6</w:t>
            </w:r>
          </w:p>
        </w:tc>
        <w:tc>
          <w:tcPr>
            <w:tcW w:type="dxa" w:w="1361"/>
          </w:tcPr>
          <w:p>
            <w:r/>
            <w:r>
              <w:rPr>
                <w:sz w:val="18"/>
              </w:rPr>
              <w:t>36.9</w:t>
            </w:r>
          </w:p>
        </w:tc>
        <w:tc>
          <w:tcPr>
            <w:tcW w:type="dxa" w:w="1361"/>
          </w:tcPr>
          <w:p>
            <w:r/>
            <w:r>
              <w:rPr>
                <w:sz w:val="18"/>
              </w:rPr>
              <w:t>43.2</w:t>
            </w:r>
          </w:p>
        </w:tc>
        <w:tc>
          <w:tcPr>
            <w:tcW w:type="dxa" w:w="1361"/>
          </w:tcPr>
          <w:p>
            <w:r/>
            <w:r>
              <w:rPr>
                <w:sz w:val="18"/>
              </w:rPr>
              <w:t>50.7</w:t>
            </w:r>
          </w:p>
        </w:tc>
      </w:tr>
      <w:tr>
        <w:tc>
          <w:tcPr>
            <w:tcW w:type="dxa" w:w="1701"/>
          </w:tcPr>
          <w:p>
            <w:r/>
            <w:r>
              <w:rPr>
                <w:sz w:val="18"/>
              </w:rPr>
              <w:t>10.82%</w:t>
            </w:r>
          </w:p>
        </w:tc>
        <w:tc>
          <w:tcPr>
            <w:tcW w:type="dxa" w:w="1361"/>
          </w:tcPr>
          <w:p>
            <w:r/>
            <w:r>
              <w:rPr>
                <w:sz w:val="18"/>
              </w:rPr>
              <w:t>22.1</w:t>
            </w:r>
          </w:p>
        </w:tc>
        <w:tc>
          <w:tcPr>
            <w:tcW w:type="dxa" w:w="1361"/>
          </w:tcPr>
          <w:p>
            <w:r/>
            <w:r>
              <w:rPr>
                <w:sz w:val="18"/>
              </w:rPr>
              <w:t>26.0</w:t>
            </w:r>
          </w:p>
        </w:tc>
        <w:tc>
          <w:tcPr>
            <w:tcW w:type="dxa" w:w="1361"/>
          </w:tcPr>
          <w:p>
            <w:r/>
            <w:r>
              <w:rPr>
                <w:sz w:val="18"/>
              </w:rPr>
              <w:t>30.5</w:t>
            </w:r>
          </w:p>
        </w:tc>
        <w:tc>
          <w:tcPr>
            <w:tcW w:type="dxa" w:w="1361"/>
          </w:tcPr>
          <w:p>
            <w:r/>
            <w:r>
              <w:rPr>
                <w:sz w:val="18"/>
              </w:rPr>
              <w:t>35.7</w:t>
            </w:r>
          </w:p>
        </w:tc>
        <w:tc>
          <w:tcPr>
            <w:tcW w:type="dxa" w:w="1361"/>
          </w:tcPr>
          <w:p>
            <w:r/>
            <w:r>
              <w:rPr>
                <w:sz w:val="18"/>
              </w:rPr>
              <w:t>41.9</w:t>
            </w:r>
          </w:p>
        </w:tc>
      </w:tr>
      <w:tr>
        <w:tc>
          <w:tcPr>
            <w:tcW w:type="dxa" w:w="1701"/>
          </w:tcPr>
          <w:p>
            <w:r/>
            <w:r>
              <w:rPr>
                <w:sz w:val="18"/>
              </w:rPr>
              <w:t>11.32%</w:t>
            </w:r>
          </w:p>
        </w:tc>
        <w:tc>
          <w:tcPr>
            <w:tcW w:type="dxa" w:w="1361"/>
          </w:tcPr>
          <w:p>
            <w:r/>
            <w:r>
              <w:rPr>
                <w:sz w:val="18"/>
              </w:rPr>
              <w:t>17.8</w:t>
            </w:r>
          </w:p>
        </w:tc>
        <w:tc>
          <w:tcPr>
            <w:tcW w:type="dxa" w:w="1361"/>
          </w:tcPr>
          <w:p>
            <w:r/>
            <w:r>
              <w:rPr>
                <w:sz w:val="18"/>
              </w:rPr>
              <w:t>21.1</w:t>
            </w:r>
          </w:p>
        </w:tc>
        <w:tc>
          <w:tcPr>
            <w:tcW w:type="dxa" w:w="1361"/>
          </w:tcPr>
          <w:p>
            <w:r/>
            <w:r>
              <w:rPr>
                <w:sz w:val="18"/>
              </w:rPr>
              <w:t>25.0</w:t>
            </w:r>
          </w:p>
        </w:tc>
        <w:tc>
          <w:tcPr>
            <w:tcW w:type="dxa" w:w="1361"/>
          </w:tcPr>
          <w:p>
            <w:r/>
            <w:r>
              <w:rPr>
                <w:sz w:val="18"/>
              </w:rPr>
              <w:t>29.4</w:t>
            </w:r>
          </w:p>
        </w:tc>
        <w:tc>
          <w:tcPr>
            <w:tcW w:type="dxa" w:w="1361"/>
          </w:tcPr>
          <w:p>
            <w:r/>
            <w:r>
              <w:rPr>
                <w:sz w:val="18"/>
              </w:rPr>
              <w:t>34.5</w:t>
            </w:r>
          </w:p>
        </w:tc>
      </w:tr>
    </w:tbl>
    <w:p/>
    <w:p>
      <w:r>
        <w:rPr>
          <w:i w:val="0"/>
        </w:rPr>
        <w:t>La plantilla trae además la sensibilidad WACC vs múltiplo de salida (DCF filas 163-200; valores al 30-jun): con WACC 10.3%, 5x da ~MXN 34 y 7x ~MXN 57 por acción. Solo combinaciones de WACC bajo (≤9.3%) con g alto (≥4.75%) o múltiplo ≥7.5x superan el precio de 58.60.</w:t>
      </w:r>
    </w:p>
    <w:p>
      <w:r>
        <w:rPr>
          <w:i w:val="0"/>
        </w:rPr>
        <w:t xml:space="preserve">DCF inverso: </w:t>
      </w:r>
    </w:p>
    <w:p>
      <w:r>
        <w:rPr>
          <w:i w:val="0"/>
        </w:rPr>
        <w:t>Con la mecánica de la hoja Reverse_DCF (corregida) y Buscar objetivo, el precio de MXN 58.60 requiere que las ventas crezcan ~7.1% cada año de 2026 a 2030 con márgenes constantes. Nuestra proyección promedia ~3.6% (incluye 2026 en -0.8%).</w:t>
      </w:r>
    </w:p>
    <w:p>
      <w:pPr>
        <w:pStyle w:val="Heading1"/>
      </w:pPr>
      <w:r>
        <w:t>5. Industria y comparables</w:t>
      </w:r>
    </w:p>
    <w:p>
      <w:r>
        <w:rPr>
          <w:i w:val="0"/>
        </w:rPr>
        <w:t>Selección: nueve empresas en dos grupos. Núcleo de panificación: Flowers (espejo de Bimbo EE.UU.), Gruma (México + EE.UU., IFRS), Yamazaki y Aryzta. Secundario de consumo: Smucker (Hostess), Campbell's (Pepperidge Farm), Mondelez (galletas), Arca Continental (Bokados) y PepsiCo (Sabritas, Gamesa). Solo entran a las medianas las que tienen la misma base que Bimbo (EV con arrendamientos y NCI verificado; EBITDA equivalente IFRS 16): seis para EV/EBITDA y cinco para P/E. Yamazaki (J-GAAP), Aryzta y Arca (NCI no verificado) se muestran pero se excluyen; Smucker sale del P/E por utilidades deprimidas.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2835"/>
            <w:shd w:val="clear" w:color="auto" w:fill="1F3864"/>
          </w:tcPr>
          <w:p>
            <w:r/>
            <w:r>
              <w:rPr>
                <w:b/>
                <w:color w:val="FFFFFF"/>
                <w:sz w:val="17"/>
              </w:rPr>
            </w:r>
          </w:p>
        </w:tc>
        <w:tc>
          <w:tcPr>
            <w:tcW w:type="dxa" w:w="1134"/>
            <w:shd w:val="clear" w:color="auto" w:fill="1F3864"/>
          </w:tcPr>
          <w:p>
            <w:r/>
            <w:r>
              <w:rPr>
                <w:b/>
                <w:color w:val="FFFFFF"/>
                <w:sz w:val="17"/>
              </w:rPr>
              <w:t>EV/EBITDA LTM</w:t>
            </w:r>
          </w:p>
        </w:tc>
        <w:tc>
          <w:tcPr>
            <w:tcW w:type="dxa" w:w="1134"/>
            <w:shd w:val="clear" w:color="auto" w:fill="1F3864"/>
          </w:tcPr>
          <w:p>
            <w:r/>
            <w:r>
              <w:rPr>
                <w:b/>
                <w:color w:val="FFFFFF"/>
                <w:sz w:val="17"/>
              </w:rPr>
              <w:t>EV/EBITDA NTM</w:t>
            </w:r>
          </w:p>
        </w:tc>
        <w:tc>
          <w:tcPr>
            <w:tcW w:type="dxa" w:w="1020"/>
            <w:shd w:val="clear" w:color="auto" w:fill="1F3864"/>
          </w:tcPr>
          <w:p>
            <w:r/>
            <w:r>
              <w:rPr>
                <w:b/>
                <w:color w:val="FFFFFF"/>
                <w:sz w:val="17"/>
              </w:rPr>
              <w:t>P/E LTM</w:t>
            </w:r>
          </w:p>
        </w:tc>
        <w:tc>
          <w:tcPr>
            <w:tcW w:type="dxa" w:w="1020"/>
            <w:shd w:val="clear" w:color="auto" w:fill="1F3864"/>
          </w:tcPr>
          <w:p>
            <w:r/>
            <w:r>
              <w:rPr>
                <w:b/>
                <w:color w:val="FFFFFF"/>
                <w:sz w:val="17"/>
              </w:rPr>
              <w:t>P/E NTM</w:t>
            </w:r>
          </w:p>
        </w:tc>
        <w:tc>
          <w:tcPr>
            <w:tcW w:type="dxa" w:w="1304"/>
            <w:shd w:val="clear" w:color="auto" w:fill="1F3864"/>
          </w:tcPr>
          <w:p>
            <w:r/>
            <w:r>
              <w:rPr>
                <w:b/>
                <w:color w:val="FFFFFF"/>
                <w:sz w:val="17"/>
              </w:rPr>
              <w:t>Deuda neta/EBITDA</w:t>
            </w:r>
          </w:p>
        </w:tc>
        <w:tc>
          <w:tcPr>
            <w:tcW w:type="dxa" w:w="1191"/>
            <w:shd w:val="clear" w:color="auto" w:fill="1F3864"/>
          </w:tcPr>
          <w:p>
            <w:r/>
            <w:r>
              <w:rPr>
                <w:b/>
                <w:color w:val="FFFFFF"/>
                <w:sz w:val="17"/>
              </w:rPr>
              <w:t>Margen EBITDA</w:t>
            </w:r>
          </w:p>
        </w:tc>
      </w:tr>
      <w:tr>
        <w:tc>
          <w:tcPr>
            <w:tcW w:type="dxa" w:w="2835"/>
          </w:tcPr>
          <w:p>
            <w:r/>
            <w:r>
              <w:rPr>
                <w:sz w:val="17"/>
              </w:rPr>
              <w:t>Bimbo</w:t>
            </w:r>
          </w:p>
        </w:tc>
        <w:tc>
          <w:tcPr>
            <w:tcW w:type="dxa" w:w="1134"/>
          </w:tcPr>
          <w:p>
            <w:r/>
            <w:r>
              <w:rPr>
                <w:sz w:val="17"/>
              </w:rPr>
              <w:t>6.94x</w:t>
            </w:r>
          </w:p>
        </w:tc>
        <w:tc>
          <w:tcPr>
            <w:tcW w:type="dxa" w:w="1134"/>
          </w:tcPr>
          <w:p>
            <w:r/>
            <w:r>
              <w:rPr>
                <w:sz w:val="17"/>
              </w:rPr>
              <w:t>6.58x</w:t>
            </w:r>
          </w:p>
        </w:tc>
        <w:tc>
          <w:tcPr>
            <w:tcW w:type="dxa" w:w="1020"/>
          </w:tcPr>
          <w:p>
            <w:r/>
            <w:r>
              <w:rPr>
                <w:sz w:val="17"/>
              </w:rPr>
              <w:t>18.5x</w:t>
            </w:r>
          </w:p>
        </w:tc>
        <w:tc>
          <w:tcPr>
            <w:tcW w:type="dxa" w:w="1020"/>
          </w:tcPr>
          <w:p>
            <w:r/>
            <w:r>
              <w:rPr>
                <w:sz w:val="17"/>
              </w:rPr>
              <w:t>17.8x</w:t>
            </w:r>
          </w:p>
        </w:tc>
        <w:tc>
          <w:tcPr>
            <w:tcW w:type="dxa" w:w="1304"/>
          </w:tcPr>
          <w:p>
            <w:r/>
            <w:r>
              <w:rPr>
                <w:sz w:val="17"/>
              </w:rPr>
              <w:t>2.81x</w:t>
            </w:r>
          </w:p>
        </w:tc>
        <w:tc>
          <w:tcPr>
            <w:tcW w:type="dxa" w:w="1191"/>
          </w:tcPr>
          <w:p>
            <w:r/>
            <w:r>
              <w:rPr>
                <w:sz w:val="17"/>
              </w:rPr>
              <w:t>14.5%</w:t>
            </w:r>
          </w:p>
        </w:tc>
      </w:tr>
      <w:tr>
        <w:tc>
          <w:tcPr>
            <w:tcW w:type="dxa" w:w="2835"/>
          </w:tcPr>
          <w:p>
            <w:r/>
            <w:r>
              <w:rPr>
                <w:sz w:val="17"/>
              </w:rPr>
              <w:t>Mediana núcleo (Flowers, Gruma)</w:t>
            </w:r>
          </w:p>
        </w:tc>
        <w:tc>
          <w:tcPr>
            <w:tcW w:type="dxa" w:w="1134"/>
          </w:tcPr>
          <w:p>
            <w:r/>
            <w:r>
              <w:rPr>
                <w:sz w:val="17"/>
              </w:rPr>
              <w:t>5.53x</w:t>
            </w:r>
          </w:p>
        </w:tc>
        <w:tc>
          <w:tcPr>
            <w:tcW w:type="dxa" w:w="1134"/>
          </w:tcPr>
          <w:p>
            <w:r/>
            <w:r>
              <w:rPr>
                <w:sz w:val="17"/>
              </w:rPr>
              <w:t>5.89x</w:t>
            </w:r>
          </w:p>
        </w:tc>
        <w:tc>
          <w:tcPr>
            <w:tcW w:type="dxa" w:w="1020"/>
          </w:tcPr>
          <w:p>
            <w:r/>
            <w:r>
              <w:rPr>
                <w:sz w:val="17"/>
              </w:rPr>
              <w:t>16.4x</w:t>
            </w:r>
          </w:p>
        </w:tc>
        <w:tc>
          <w:tcPr>
            <w:tcW w:type="dxa" w:w="1020"/>
          </w:tcPr>
          <w:p>
            <w:r/>
            <w:r>
              <w:rPr>
                <w:sz w:val="17"/>
              </w:rPr>
              <w:t>9.3x</w:t>
            </w:r>
          </w:p>
        </w:tc>
        <w:tc>
          <w:tcPr>
            <w:tcW w:type="dxa" w:w="1304"/>
          </w:tcPr>
          <w:p>
            <w:r/>
            <w:r>
              <w:rPr>
                <w:sz w:val="17"/>
              </w:rPr>
              <w:t>2.42x</w:t>
            </w:r>
          </w:p>
        </w:tc>
        <w:tc>
          <w:tcPr>
            <w:tcW w:type="dxa" w:w="1191"/>
          </w:tcPr>
          <w:p>
            <w:r/>
            <w:r>
              <w:rPr>
                <w:sz w:val="17"/>
              </w:rPr>
              <w:t>14.1%</w:t>
            </w:r>
          </w:p>
        </w:tc>
      </w:tr>
      <w:tr>
        <w:tc>
          <w:tcPr>
            <w:tcW w:type="dxa" w:w="2835"/>
          </w:tcPr>
          <w:p>
            <w:r/>
            <w:r>
              <w:rPr>
                <w:sz w:val="17"/>
              </w:rPr>
              <w:t>Mediana elegibles (n = 6 / 5)</w:t>
            </w:r>
          </w:p>
        </w:tc>
        <w:tc>
          <w:tcPr>
            <w:tcW w:type="dxa" w:w="1134"/>
          </w:tcPr>
          <w:p>
            <w:r/>
            <w:r>
              <w:rPr>
                <w:sz w:val="17"/>
              </w:rPr>
              <w:t>8.27x</w:t>
            </w:r>
          </w:p>
        </w:tc>
        <w:tc>
          <w:tcPr>
            <w:tcW w:type="dxa" w:w="1134"/>
          </w:tcPr>
          <w:p>
            <w:r/>
            <w:r>
              <w:rPr>
                <w:sz w:val="17"/>
              </w:rPr>
              <w:t>8.79x</w:t>
            </w:r>
          </w:p>
        </w:tc>
        <w:tc>
          <w:tcPr>
            <w:tcW w:type="dxa" w:w="1020"/>
          </w:tcPr>
          <w:p>
            <w:r/>
            <w:r>
              <w:rPr>
                <w:sz w:val="17"/>
              </w:rPr>
              <w:t>16.2x</w:t>
            </w:r>
          </w:p>
        </w:tc>
        <w:tc>
          <w:tcPr>
            <w:tcW w:type="dxa" w:w="1020"/>
          </w:tcPr>
          <w:p>
            <w:r/>
            <w:r>
              <w:rPr>
                <w:sz w:val="17"/>
              </w:rPr>
              <w:t>11.7x</w:t>
            </w:r>
          </w:p>
        </w:tc>
        <w:tc>
          <w:tcPr>
            <w:tcW w:type="dxa" w:w="1304"/>
          </w:tcPr>
          <w:p>
            <w:r/>
            <w:r>
              <w:rPr>
                <w:sz w:val="17"/>
              </w:rPr>
              <w:t>3.12x</w:t>
            </w:r>
          </w:p>
        </w:tc>
        <w:tc>
          <w:tcPr>
            <w:tcW w:type="dxa" w:w="1191"/>
          </w:tcPr>
          <w:p>
            <w:r/>
            <w:r>
              <w:rPr>
                <w:sz w:val="17"/>
              </w:rPr>
              <w:t>17.4%</w:t>
            </w:r>
          </w:p>
        </w:tc>
      </w:tr>
    </w:tbl>
    <w:p/>
    <w:p>
      <w:r>
        <w:rPr>
          <w:i w:val="0"/>
        </w:rPr>
        <w:t>Diferencias operativas vs de valuación. Bimbo tiene el margen bruto más alto de los panaderos (52.6%) pero un margen EBITDA intermedio porque su ventaja de compra se gasta en distribución directa; invierte más que los peers (capex ~5% vs 3.7%) y su apalancamiento está en la mediana. Su múltiplo intermedio (entre panaderos y snacks globales) es coherente con esa mezcla. No se concluye que una empresa esté sobre o subvaluada solo por su múltiplo.</w:t>
      </w:r>
    </w:p>
    <w:p>
      <w:r>
        <w:rPr>
          <w:i w:val="0"/>
        </w:rPr>
        <w:t>Factores de industria con efecto en el modelo:</w:t>
      </w:r>
    </w:p>
    <w:p>
      <w:pPr>
        <w:pStyle w:val="ListBullet"/>
      </w:pPr>
      <w:r>
        <w:rPr>
          <w:i w:val="0"/>
        </w:rPr>
        <w:t>Mercado maduro que crece por precio (~4.2% anual en valor para la mezcla de Bimbo; RA25 p.107-111) → crecimiento de ventas ~4.4% y g = 4.25%.</w:t>
      </w:r>
    </w:p>
    <w:p>
      <w:pPr>
        <w:pStyle w:val="ListBullet"/>
      </w:pPr>
      <w:r>
        <w:rPr>
          <w:i w:val="0"/>
        </w:rPr>
        <w:t>'Dos industrias en una': México/LatAm con comprador fragmentado y margen ~20%; EE.UU./Europa con compradores concentrados y marca propia (~35% de unidades de pan en EE.UU.) → el margen consolidado depende de la mezcla y de la recuperación en Norteamérica.</w:t>
      </w:r>
    </w:p>
    <w:p>
      <w:pPr>
        <w:pStyle w:val="ListBullet"/>
      </w:pPr>
      <w:r>
        <w:rPr>
          <w:i w:val="0"/>
        </w:rPr>
        <w:t>Trigo en dólares con rezago de ~1 año sobre el margen bruto (correlación -0.74) → margen bruto 52.0% en 2027.</w:t>
      </w:r>
    </w:p>
    <w:p>
      <w:pPr>
        <w:pStyle w:val="ListBullet"/>
      </w:pPr>
      <w:r>
        <w:rPr>
          <w:i w:val="0"/>
        </w:rPr>
        <w:t>Riesgo país y tipo de cambio (55% del EBITDA en México; 42-44% de la deuda en USD) → prima país ponderada por EBITDA en el WACC.</w:t>
      </w:r>
    </w:p>
    <w:p>
      <w:pPr>
        <w:pStyle w:val="ListBullet"/>
      </w:pPr>
      <w:r>
        <w:rPr>
          <w:i w:val="0"/>
        </w:rPr>
        <w:t>Regulación de salud (NOM-051 fase 3 en 2028, IEPS) y GLP-1 → riesgo a la baja de volumen no modelado por separado.</w:t>
      </w:r>
    </w:p>
    <w:p>
      <w:r>
        <w:rPr>
          <w:i w:val="0"/>
        </w:rPr>
        <w:t>Valor implícito para Bimbo (puente al 30-jun-2026 con NCI a mercado): 5.53x → MXN 34.9; 6.0x → 41.6; múltiplo actual de Bimbo 6.94x → 55.0; mediana de elegibles 8.27x → 73.8 (techo: incluye negocios de mayor margen). EV/EBIT de los peers no está disponible (no se descargó su utilidad de operación).</w:t>
      </w:r>
    </w:p>
    <w:p>
      <w:pPr>
        <w:pStyle w:val="Heading1"/>
      </w:pPr>
      <w:r>
        <w:t>6. Fuentes y datos en conflicto</w:t>
      </w:r>
    </w:p>
    <w:p>
      <w:pPr>
        <w:pStyle w:val="ListBullet"/>
      </w:pPr>
      <w:r>
        <w:rPr>
          <w:i w:val="0"/>
        </w:rPr>
        <w:t>Estados financieros auditados FY2021-FY2025 (data/financials.csv, extraídos de los reportes anuales y EEFF25) para la historia; reporte 2T26 (BMV) para deuda, efectivo y NCI al 30-jun-2026; precio BMV del 16-oct-2026.</w:t>
      </w:r>
    </w:p>
    <w:p>
      <w:pPr>
        <w:pStyle w:val="ListBullet"/>
      </w:pPr>
      <w:r>
        <w:rPr>
          <w:i w:val="0"/>
        </w:rPr>
        <w:t>S&amp;P Capital IQ (descargas del 16/17-oct-2026 en data/capitaliq/): tasas, consenso y datos de peers; Damodaran (ERP, primas país, beta de industria).</w:t>
      </w:r>
    </w:p>
    <w:p>
      <w:pPr>
        <w:pStyle w:val="ListBullet"/>
      </w:pPr>
      <w:r>
        <w:rPr>
          <w:i w:val="0"/>
        </w:rPr>
        <w:t>Insumos, proyecciones y juicios de la valuación v3 del equipo (valuation/), que pasó 3 rondas de revisión; esta versión los reutiliza para ser consistente.</w:t>
      </w:r>
    </w:p>
    <w:p>
      <w:r>
        <w:rPr>
          <w:i w:val="0"/>
        </w:rPr>
        <w:t>Conflictos resueltos:</w:t>
      </w:r>
    </w:p>
    <w:p>
      <w:pPr>
        <w:pStyle w:val="ListBullet"/>
      </w:pPr>
      <w:r>
        <w:rPr>
          <w:i w:val="0"/>
        </w:rPr>
        <w:t>Historia: Capital IQ solo trae datos trimestrales y su D&amp;A es ~3% menor que la de los reportes; se usan los reportes oficiales (base IFRS consistente).</w:t>
      </w:r>
    </w:p>
    <w:p>
      <w:pPr>
        <w:pStyle w:val="ListBullet"/>
      </w:pPr>
      <w:r>
        <w:rPr>
          <w:i w:val="0"/>
        </w:rPr>
        <w:t>Deuda total: Capital IQ reporta 189,679 (incluye otros conceptos); se usan 153,660 de deuda financiera + 33,361 de arrendamientos, como en la v3.</w:t>
      </w:r>
    </w:p>
    <w:p>
      <w:pPr>
        <w:pStyle w:val="ListBullet"/>
      </w:pPr>
      <w:r>
        <w:rPr>
          <w:i w:val="0"/>
        </w:rPr>
        <w:t>Tipo de cambio: se usa el cierre del 16-oct-2026 (18.479), no el 17.46 implícito en el tablero de consenso de Capital IQ.</w:t>
      </w:r>
    </w:p>
    <w:p>
      <w:pPr>
        <w:pStyle w:val="ListBullet"/>
      </w:pPr>
      <w:r>
        <w:rPr>
          <w:i w:val="0"/>
        </w:rPr>
        <w:t>Beta: la de Capital IQ no estuvo disponible; las betas de los peers vienen de stockanalysis.com (5 años, mensual) y se reportan como evidencia.</w:t>
      </w:r>
    </w:p>
    <w:p>
      <w:pPr>
        <w:pStyle w:val="Heading1"/>
      </w:pPr>
      <w:r>
        <w:t>7. Correcciones a las plantillas</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val="clear" w:color="auto" w:fill="1F3864"/>
          </w:tcPr>
          <w:p>
            <w:r/>
            <w:r>
              <w:rPr>
                <w:b/>
                <w:color w:val="FFFFFF"/>
                <w:sz w:val="17"/>
              </w:rPr>
              <w:t>Celda</w:t>
            </w:r>
          </w:p>
        </w:tc>
        <w:tc>
          <w:tcPr>
            <w:tcW w:type="dxa" w:w="3515"/>
            <w:shd w:val="clear" w:color="auto" w:fill="1F3864"/>
          </w:tcPr>
          <w:p>
            <w:r/>
            <w:r>
              <w:rPr>
                <w:b/>
                <w:color w:val="FFFFFF"/>
                <w:sz w:val="17"/>
              </w:rPr>
              <w:t>Qué hacía la plantilla</w:t>
            </w:r>
          </w:p>
        </w:tc>
        <w:tc>
          <w:tcPr>
            <w:tcW w:type="dxa" w:w="4082"/>
            <w:shd w:val="clear" w:color="auto" w:fill="1F3864"/>
          </w:tcPr>
          <w:p>
            <w:r/>
            <w:r>
              <w:rPr>
                <w:b/>
                <w:color w:val="FFFFFF"/>
                <w:sz w:val="17"/>
              </w:rPr>
              <w:t>Corrección y por qué</w:t>
            </w:r>
          </w:p>
        </w:tc>
      </w:tr>
      <w:tr>
        <w:tc>
          <w:tcPr>
            <w:tcW w:type="dxa" w:w="2041"/>
          </w:tcPr>
          <w:p>
            <w:r/>
            <w:r>
              <w:rPr>
                <w:sz w:val="17"/>
              </w:rPr>
              <w:t>WACC!C46, DCF!F50</w:t>
            </w:r>
          </w:p>
        </w:tc>
        <w:tc>
          <w:tcPr>
            <w:tcW w:type="dxa" w:w="3515"/>
          </w:tcPr>
          <w:p>
            <w:r/>
            <w:r>
              <w:rPr>
                <w:sz w:val="17"/>
              </w:rPr>
              <w:t>Tasa efectiva promedio de 5 años para el escudo fiscal</w:t>
            </w:r>
          </w:p>
        </w:tc>
        <w:tc>
          <w:tcPr>
            <w:tcW w:type="dxa" w:w="4082"/>
          </w:tcPr>
          <w:p>
            <w:r/>
            <w:r>
              <w:rPr>
                <w:sz w:val="17"/>
              </w:rPr>
              <w:t>Tasa marginal 30% (el ahorro de intereses se da a la tasa marginal).</w:t>
            </w:r>
          </w:p>
        </w:tc>
      </w:tr>
      <w:tr>
        <w:tc>
          <w:tcPr>
            <w:tcW w:type="dxa" w:w="2041"/>
          </w:tcPr>
          <w:p>
            <w:r/>
            <w:r>
              <w:rPr>
                <w:sz w:val="17"/>
              </w:rPr>
              <w:t>WACC!N60, DCF!S60</w:t>
            </w:r>
          </w:p>
        </w:tc>
        <w:tc>
          <w:tcPr>
            <w:tcW w:type="dxa" w:w="3515"/>
          </w:tcPr>
          <w:p>
            <w:r/>
            <w:r>
              <w:rPr>
                <w:sz w:val="17"/>
              </w:rPr>
              <w:t>Beta = promedio de peers</w:t>
            </w:r>
          </w:p>
        </w:tc>
        <w:tc>
          <w:tcPr>
            <w:tcW w:type="dxa" w:w="4082"/>
          </w:tcPr>
          <w:p>
            <w:r/>
            <w:r>
              <w:rPr>
                <w:sz w:val="17"/>
              </w:rPr>
              <w:t>Selector: Damodaran (base) o peers. Las betas de peers son anormalmente bajas.</w:t>
            </w:r>
          </w:p>
        </w:tc>
      </w:tr>
      <w:tr>
        <w:tc>
          <w:tcPr>
            <w:tcW w:type="dxa" w:w="2041"/>
          </w:tcPr>
          <w:p>
            <w:r/>
            <w:r>
              <w:rPr>
                <w:sz w:val="17"/>
              </w:rPr>
              <w:t>DCF!F117</w:t>
            </w:r>
          </w:p>
        </w:tc>
        <w:tc>
          <w:tcPr>
            <w:tcW w:type="dxa" w:w="3515"/>
          </w:tcPr>
          <w:p>
            <w:r/>
            <w:r>
              <w:rPr>
                <w:sz w:val="17"/>
              </w:rPr>
              <w:t>Impuestos sobre EBIT = tasa del WACC</w:t>
            </w:r>
          </w:p>
        </w:tc>
        <w:tc>
          <w:tcPr>
            <w:tcW w:type="dxa" w:w="4082"/>
          </w:tcPr>
          <w:p>
            <w:r/>
            <w:r>
              <w:rPr>
                <w:sz w:val="17"/>
              </w:rPr>
              <w:t>Tasa efectiva 34% (los flujos pagan la tasa efectiva).</w:t>
            </w:r>
          </w:p>
        </w:tc>
      </w:tr>
      <w:tr>
        <w:tc>
          <w:tcPr>
            <w:tcW w:type="dxa" w:w="2041"/>
          </w:tcPr>
          <w:p>
            <w:r/>
            <w:r>
              <w:rPr>
                <w:sz w:val="17"/>
              </w:rPr>
              <w:t>DCF!R144</w:t>
            </w:r>
          </w:p>
        </w:tc>
        <w:tc>
          <w:tcPr>
            <w:tcW w:type="dxa" w:w="3515"/>
          </w:tcPr>
          <w:p>
            <w:r/>
            <w:r>
              <w:rPr>
                <w:sz w:val="17"/>
              </w:rPr>
              <w:t>Múltiplo de salida = EV/EBITDA histórico de Capital IQ</w:t>
            </w:r>
          </w:p>
        </w:tc>
        <w:tc>
          <w:tcPr>
            <w:tcW w:type="dxa" w:w="4082"/>
          </w:tcPr>
          <w:p>
            <w:r/>
            <w:r>
              <w:rPr>
                <w:sz w:val="17"/>
              </w:rPr>
              <w:t>Supuesto explícito del equipo (6.0x).</w:t>
            </w:r>
          </w:p>
        </w:tc>
      </w:tr>
      <w:tr>
        <w:tc>
          <w:tcPr>
            <w:tcW w:type="dxa" w:w="2041"/>
          </w:tcPr>
          <w:p>
            <w:r/>
            <w:r>
              <w:rPr>
                <w:sz w:val="17"/>
              </w:rPr>
              <w:t>DCF!I150</w:t>
            </w:r>
          </w:p>
        </w:tc>
        <w:tc>
          <w:tcPr>
            <w:tcW w:type="dxa" w:w="3515"/>
          </w:tcPr>
          <w:p>
            <w:r/>
            <w:r>
              <w:rPr>
                <w:sz w:val="17"/>
              </w:rPr>
              <w:t>Puente sin asociadas ni ISR estacional</w:t>
            </w:r>
          </w:p>
        </w:tc>
        <w:tc>
          <w:tcPr>
            <w:tcW w:type="dxa" w:w="4082"/>
          </w:tcPr>
          <w:p>
            <w:r/>
            <w:r>
              <w:rPr>
                <w:sz w:val="17"/>
              </w:rPr>
              <w:t>Ajuste en una celda dentro del rango que usa la sensibilidad, para que ambas coincidan.</w:t>
            </w:r>
          </w:p>
        </w:tc>
      </w:tr>
      <w:tr>
        <w:tc>
          <w:tcPr>
            <w:tcW w:type="dxa" w:w="2041"/>
          </w:tcPr>
          <w:p>
            <w:r/>
            <w:r>
              <w:rPr>
                <w:sz w:val="17"/>
              </w:rPr>
              <w:t>Reverse_DCF!O22, O24, O26, O34</w:t>
            </w:r>
          </w:p>
        </w:tc>
        <w:tc>
          <w:tcPr>
            <w:tcW w:type="dxa" w:w="3515"/>
          </w:tcPr>
          <w:p>
            <w:r/>
            <w:r>
              <w:rPr>
                <w:sz w:val="17"/>
              </w:rPr>
              <w:t>Sumaba el flujo de 2025; descontaba dos veces el valor terminal; precio = EV / acciones</w:t>
            </w:r>
          </w:p>
        </w:tc>
        <w:tc>
          <w:tcPr>
            <w:tcW w:type="dxa" w:w="4082"/>
          </w:tcPr>
          <w:p>
            <w:r/>
            <w:r>
              <w:rPr>
                <w:sz w:val="17"/>
              </w:rPr>
              <w:t>Solo flujos futuros; un solo descuento; precio = valor del capital / acciones. Sin esto daba -10% de crecimiento implícito.</w:t>
            </w:r>
          </w:p>
        </w:tc>
      </w:tr>
      <w:tr>
        <w:tc>
          <w:tcPr>
            <w:tcW w:type="dxa" w:w="2041"/>
          </w:tcPr>
          <w:p>
            <w:r/>
            <w:r>
              <w:rPr>
                <w:sz w:val="17"/>
              </w:rPr>
              <w:t>Reverse_DCF!F23</w:t>
            </w:r>
          </w:p>
        </w:tc>
        <w:tc>
          <w:tcPr>
            <w:tcW w:type="dxa" w:w="3515"/>
          </w:tcPr>
          <w:p>
            <w:r/>
            <w:r>
              <w:rPr>
                <w:sz w:val="17"/>
              </w:rPr>
              <w:t>D&amp;A / capex de 2025 (sin arrendamientos) aplicado a capex con arrendamientos</w:t>
            </w:r>
          </w:p>
        </w:tc>
        <w:tc>
          <w:tcPr>
            <w:tcW w:type="dxa" w:w="4082"/>
          </w:tcPr>
          <w:p>
            <w:r/>
            <w:r>
              <w:rPr>
                <w:sz w:val="17"/>
              </w:rPr>
              <w:t>Cociente consistente con la hoja DCF.</w:t>
            </w:r>
          </w:p>
        </w:tc>
      </w:tr>
      <w:tr>
        <w:tc>
          <w:tcPr>
            <w:tcW w:type="dxa" w:w="2041"/>
          </w:tcPr>
          <w:p>
            <w:r/>
            <w:r>
              <w:rPr>
                <w:sz w:val="17"/>
              </w:rPr>
              <w:t>Ejes de sensibilidad (WACC y DCF)</w:t>
            </w:r>
          </w:p>
        </w:tc>
        <w:tc>
          <w:tcPr>
            <w:tcW w:type="dxa" w:w="3515"/>
          </w:tcPr>
          <w:p>
            <w:r/>
            <w:r>
              <w:rPr>
                <w:sz w:val="17"/>
              </w:rPr>
              <w:t>Centrados en 5% y 50% fijos</w:t>
            </w:r>
          </w:p>
        </w:tc>
        <w:tc>
          <w:tcPr>
            <w:tcW w:type="dxa" w:w="4082"/>
          </w:tcPr>
          <w:p>
            <w:r/>
            <w:r>
              <w:rPr>
                <w:sz w:val="17"/>
              </w:rPr>
              <w:t>Centrados en Kd, peso de deuda y ke de Bimbo, sin referencias circulares.</w:t>
            </w:r>
          </w:p>
        </w:tc>
      </w:tr>
    </w:tbl>
    <w:p/>
    <w:p>
      <w:pPr>
        <w:pStyle w:val="Heading1"/>
      </w:pPr>
      <w:r>
        <w:t>8. Validación realizada</w:t>
      </w:r>
    </w:p>
    <w:p>
      <w:pPr>
        <w:pStyle w:val="ListBullet"/>
      </w:pPr>
      <w:r>
        <w:rPr>
          <w:i w:val="0"/>
        </w:rPr>
        <w:t>Los tres libros se recalcularon completos en Excel (CalculateFullRebuild) y se guardaron con resultados: 0 errores de fórmula nuevos y 0 llamadas al complemento restantes. (Única advertencia: una celda auxiliar oculta de terminología, WACC!BL54, ya tenía #N/A en la plantilla original.)</w:t>
      </w:r>
    </w:p>
    <w:p>
      <w:pPr>
        <w:pStyle w:val="ListBullet"/>
      </w:pPr>
      <w:r>
        <w:rPr>
          <w:i w:val="0"/>
        </w:rPr>
        <w:t>Réplica independiente en Python del DCF (sin Excel): WACC, valor de empresa, valor del capital y valor por acción en ambos métodos coinciden al millonésimo.</w:t>
      </w:r>
    </w:p>
    <w:p>
      <w:pPr>
        <w:pStyle w:val="ListBullet"/>
      </w:pPr>
      <w:r>
        <w:rPr>
          <w:i w:val="0"/>
        </w:rPr>
        <w:t>WACC de la plantilla = WACC de la v3 (10.3233%); flujos libres 2026-2030 = base publicada v3 (diferencia 0); ventas 2030 = suma de regiones; puente EV → capital cuadra; centro de la sensibilidad = valor por acción: 7/7 controles en OK (Supuestos_DCF filas 104-111).</w:t>
      </w:r>
    </w:p>
    <w:p>
      <w:pPr>
        <w:pStyle w:val="ListBullet"/>
      </w:pPr>
      <w:r>
        <w:rPr>
          <w:i w:val="0"/>
        </w:rPr>
        <w:t>Comparables: los 10 EV/EBITDA recalculados con fórmulas coinciden con la v3 verificada; medianas iguales (5.53x, 8.27x, 16.15x, 11.72x).</w:t>
      </w:r>
    </w:p>
    <w:p>
      <w:pPr>
        <w:pStyle w:val="ListBullet"/>
      </w:pPr>
      <w:r>
        <w:rPr>
          <w:i w:val="0"/>
        </w:rPr>
        <w:t>Fechas, monedas y unidades: MXN millones en WACC y DCF; USD millones en Peers (Bimbo a tipo de cambio constante de 18.479); acciones 4,294.9 m (la plantilla las recibe en unidades); porcentajes en las unidades que espera cada plantilla.</w:t>
      </w:r>
    </w:p>
    <w:p>
      <w:pPr>
        <w:pStyle w:val="Heading1"/>
      </w:pPr>
      <w:r>
        <w:t>9. Limitaciones importantes</w:t>
      </w:r>
    </w:p>
    <w:p>
      <w:pPr>
        <w:pStyle w:val="ListBullet"/>
      </w:pPr>
      <w:r>
        <w:rPr>
          <w:i w:val="0"/>
        </w:rPr>
        <w:t>Horizonte de 5 años (estructura de la plantilla): el valor terminal pesa ~78% del EV. La v3 del equipo usa 10 años (Gordon MXN 33.55; múltiplo 6.0x en 2035: 45.72); la diferencia viene del año en que se aplica el valor terminal y del capex de largo plazo (5.5% aquí vs 6.0% en la v3).</w:t>
      </w:r>
    </w:p>
    <w:p>
      <w:pPr>
        <w:pStyle w:val="ListBullet"/>
      </w:pPr>
      <w:r>
        <w:rPr>
          <w:i w:val="0"/>
        </w:rPr>
        <w:t>Gordon con flujos de 2030 implica un rendimiento sobre capital nuevo de ~20% (alto): puede ser optimista si el capex de largo plazo debe ser mayor.</w:t>
      </w:r>
    </w:p>
    <w:p>
      <w:pPr>
        <w:pStyle w:val="ListBullet"/>
      </w:pPr>
      <w:r>
        <w:rPr>
          <w:i w:val="0"/>
        </w:rPr>
        <w:t>Sin el complemento de Capital IQ, los datos son estáticos al 16-oct-2026; las betas de peers no son de Capital IQ y los rendimientos de los bonos de Bimbo no estuvieron disponibles (Kd se aproxima con el spread de emisión).</w:t>
      </w:r>
    </w:p>
    <w:p>
      <w:pPr>
        <w:pStyle w:val="ListBullet"/>
      </w:pPr>
      <w:r>
        <w:rPr>
          <w:i w:val="0"/>
        </w:rPr>
        <w:t>El derecho de los minoritarios (NCI) a valor de mercado y el múltiplo de salida son juicios provisionales; la historia FY2020 no se capturó.</w:t>
      </w:r>
    </w:p>
    <w:p>
      <w:pPr>
        <w:pStyle w:val="ListBullet"/>
      </w:pPr>
      <w:r>
        <w:rPr>
          <w:i w:val="0"/>
        </w:rPr>
        <w:t>La hoja Reverse_DCF es una herramienta simplificada (un solo crecimiento y un solo margen); sirve como orden de magnitud, no como valuación.</w:t>
      </w:r>
    </w:p>
    <w:p>
      <w:pPr>
        <w:pStyle w:val="ListBullet"/>
      </w:pPr>
      <w:r>
        <w:rPr>
          <w:i w:val="0"/>
        </w:rPr>
        <w:t>Decisiones abiertas del equipo: ruta del WACC (A o B), fuente de la beta, g, múltiplo de salida, capex terminal, tratamiento del NCI, ponderación de métodos, precio objetivo y recomendación.</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