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2012FQ2 filed Jul 26, 2012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FQ2 2012(Jun-30-2012)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36"/>
                                                  <w:gridCol w:w="1895"/>
                                                  <w:gridCol w:w="961"/>
                                                  <w:gridCol w:w="881"/>
                                                  <w:gridCol w:w="969"/>
                                                  <w:gridCol w:w="782"/>
                                                  <w:gridCol w:w="795"/>
                                                  <w:gridCol w:w="805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17"/>
                                                  <w:gridCol w:w="1332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Credito Euros Loan with Bank, 1.12%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1,124,129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EURIBOR + 112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Oct-27-2014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10,922,400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10,922,400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10.6000%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3,348,618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National Financial Loan with Bank, 2.74%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11,517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2.7400%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Oct-08-2012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National Financial Loan with Bank, 6.05%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365,498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Oct-31-2012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+ 90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Nov-28-2014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+ 125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Dec-27-2016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Line of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+ 250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Apr-27-2012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Security Investments in Stock-Exchange with Issue Bimbo 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6.3200%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Benchmark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Jun-15-2014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Security Investments in Stock-Exchange with Issue Bimbo 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Aug-03-2018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2,703,294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Apr-15-2016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Loan with Bank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2,170,373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Oct-30-2012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89867295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628470177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