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2015FQ2 filed Jul 22, 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2015(Jun-30-2015)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with Nacional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37,430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Feb-28-2016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with Nacional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318,325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Jan-29-2016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562,380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292,188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1,560,103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1,089,732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09 U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3,726,996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Exchange Traded Securities BIMBO 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Aug-03-2018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39,184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12,319,201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12,319,201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12,319,202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7,783,800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Working Capital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3.6500%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Apr-28-2015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Subsidiaries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4,845,947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Mar-30-2019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4057719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0990482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