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2020FQ3 filed Oct 22, 2020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FQ3 2020(Sep-30-2020)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3"/>
                                                  <w:gridCol w:w="1891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5"/>
                                                  <w:gridCol w:w="133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16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7,706,339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Sep-02-2026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9,633,102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2,651,683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17,965,840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17,916,703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13,393,534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Sep-06-2049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14,597,245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11,228,650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Lease Liabilities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30,196,103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Reserve Loans from Independent Operators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48,321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Sep-30-2021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-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2,122,397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2022 - 2030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28071932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34159044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