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2023FQ3 filed Oct 26, 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2023(Sep-30-2023)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42"/>
                                                  <w:gridCol w:w="1887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1"/>
                                                  <w:gridCol w:w="795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3"/>
                                                  <w:gridCol w:w="1328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3,453,422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14,095,600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10,312,111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9,867,184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11,452,675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8,765,701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27,299,340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Short Term Unsecured Loans to Cover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2,864,876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Dec-29-2023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7,686,564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Sustainability-Linked Amortizing Credit Facility with Bank of America 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2,202,438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Aug-11-2026 - Aug-11-2028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6191294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4778921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