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t>BMV:BIMBO A (MI KEY: 4276592; SPCIQ KEY: 877906; TCUID: 53231)</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pStyle w:val="hui-padding-left10"/>
                                      <w:pBdr>
                                        <w:top w:val="none" w:sz="0" w:space="6" w:color="auto"/>
                                        <w:left w:val="none" w:sz="0" w:space="7" w:color="auto"/>
                                        <w:bottom w:val="none" w:sz="0" w:space="0" w:color="auto"/>
                                        <w:right w:val="none" w:sz="0" w:space="0" w:color="auto"/>
                                      </w:pBdr>
                                      <w:ind w:start="150"/>
                                      <w:jc w:val="start"/>
                                      <w:rPr>
                                        <w:b w:val="0"/>
                                        <w:bCs w:val="0"/>
                                        <w:i w:val="0"/>
                                        <w:iCs w:val="0"/>
                                        <w:smallCaps w:val="0"/>
                                        <w:color w:val="000000"/>
                                        <w:sz w:val="16"/>
                                      </w:rPr>
                                    </w:pPr>
                                    <w:r>
                                      <w:rPr>
                                        <w:rStyle w:val="b"/>
                                        <w:i w:val="0"/>
                                        <w:iCs w:val="0"/>
                                        <w:smallCaps w:val="0"/>
                                        <w:color w:val="000000"/>
                                        <w:sz w:val="16"/>
                                      </w:rPr>
                                      <w:t>As of:  </w:t>
                                    </w:r>
                                    <w:r>
                                      <w:rPr>
                                        <w:b w:val="0"/>
                                        <w:bCs w:val="0"/>
                                        <w:i w:val="0"/>
                                        <w:iCs w:val="0"/>
                                        <w:smallCaps w:val="0"/>
                                        <w:color w:val="000000"/>
                                        <w:sz w:val="16"/>
                                      </w:rPr>
                                      <w:t>4/3/2026</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Company Description</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Grupo Bimbo, S.A.B. de C.V., together with its subsidiaries, produces, distributes, and markets bakery products. It offers sliced and artisan bread, buns and rolls, pastries, cakes, cookies, toast, English muffins, bagels, tortillas and flatbreads, and salty snacks. The company operates Mexico, North America, Central America, Latin America, Europe and Africa, and Asia. Grupo Bimbo, S.A.B. de C.V. was founded in 1945 and is based in Mexico City, Mexico.</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Company Details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4416"/>
                                                                                                              <w:gridCol w:w="6624"/>
                                                                                                            </w:tblGrid>
                                                                                                            <w:tr>
                                                                                                              <w:tblPrEx>
                                                                                                                <w:tblW w:w="100%" w:type="pct"/>
                                                                                                                <w:tblCellMar>
                                                                                                                  <w:top w:w="0.75pt" w:type="dxa"/>
                                                                                                                  <w:start w:w="0.75pt" w:type="dxa"/>
                                                                                                                  <w:bottom w:w="0.75pt" w:type="dxa"/>
                                                                                                                  <w:end w:w="0.75pt" w:type="dxa"/>
                                                                                                                </w:tblCellMar>
                                                                                                                <w:tblLook w:firstColumn="1" w:firstRow="1" w:lastColumn="1" w:lastRow="1" w:noVBand="1"/>
                                                                                                              </w:tblPrEx>
                                                                                                              <w:trPr>
                                                                                                                <w:tblHeader/>
                                                                                                              </w:trPr>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Primary GICS Sub-Industry</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Packaged Foods &amp; Meats</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Fiscal Year</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2025</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Analysis Date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3/30/2026</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Total Revenue (Mex$M)</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413,359.04</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Total Revenue Exposed (Mex$M)</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0.00</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Revenue Exposed/ Total Revenue (%)</w:t>
                                                                                                                  </w:r>
                                                                                                                </w:p>
                                                                                                              </w:tc>
                                                                                                              <w:tc>
                                                                                                                <w:tcPr>
                                                                                                                  <w:tcW w:w="60%" w:type="pct"/>
                                                                                                                  <w:tcBorders>
                                                                                                                    <w:top w:val="single" w:sz="6" w:space="0" w:color="E3E3E3"/>
                                                                                                                  </w:tcBorders>
                                                                                                                  <w:shd w:val="clear" w:color="auto" w:fill="FFFFFF"/>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0.00</w:t>
                                                                                                                  </w:r>
                                                                                                                </w:p>
                                                                                                              </w:tc>
                                                                                                            </w:tr>
                                                                                                            <w:tr>
                                                                                                              <w:tblPrEx>
                                                                                                                <w:tblW w:w="100%" w:type="pct"/>
                                                                                                                <w:tblCellMar>
                                                                                                                  <w:top w:w="0.75pt" w:type="dxa"/>
                                                                                                                  <w:start w:w="0.75pt" w:type="dxa"/>
                                                                                                                  <w:bottom w:w="0.75pt" w:type="dxa"/>
                                                                                                                  <w:end w:w="0.75pt" w:type="dxa"/>
                                                                                                                </w:tblCellMar>
                                                                                                                <w:tblLook w:firstColumn="1" w:firstRow="1" w:lastColumn="1" w:lastRow="1" w:noVBand="1"/>
                                                                                                              </w:tblPrEx>
                                                                                                              <w:tc>
                                                                                                                <w:tcPr>
                                                                                                                  <w:tcW w:w="4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Expansion Exposure</w:t>
                                                                                                                  </w:r>
                                                                                                                </w:p>
                                                                                                              </w:tc>
                                                                                                              <w:tc>
                                                                                                                <w:tcPr>
                                                                                                                  <w:tcW w:w="60%" w:type="pct"/>
                                                                                                                  <w:tcBorders>
                                                                                                                    <w:top w:val="single" w:sz="6" w:space="0" w:color="E3E3E3"/>
                                                                                                                  </w:tcBorders>
                                                                                                                  <w:shd w:val="clear" w:color="auto" w:fill="F9F9F9"/>
                                                                                                                  <w:noWrap w:val="0"/>
                                                                                                                  <w:tcMar>
                                                                                                                    <w:top w:w="4.1pt" w:type="dxa"/>
                                                                                                                    <w:start w:w="4pt" w:type="dxa"/>
                                                                                                                    <w:bottom w:w="4pt" w:type="dxa"/>
                                                                                                                    <w:end w:w="4pt" w:type="dxa"/>
                                                                                                                  </w:tcMar>
                                                                                                                  <w:vAlign w:val="top"/>
                                                                                                                  <w:hideMark/>
                                                                                                                </w:tcPr>
                                                                                                                <w:p>
                                                                                                                  <w:pPr>
                                                                                                                    <w:pStyle w:val="hui-wrap"/>
                                                                                                                    <w:jc w:val="end"/>
                                                                                                                    <w:rPr>
                                                                                                                      <w:b w:val="0"/>
                                                                                                                      <w:bCs w:val="0"/>
                                                                                                                      <w:i w:val="0"/>
                                                                                                                      <w:iCs w:val="0"/>
                                                                                                                      <w:smallCaps w:val="0"/>
                                                                                                                      <w:color w:val="000000"/>
                                                                                                                      <w:sz w:val="16"/>
                                                                                                                    </w:rPr>
                                                                                                                  </w:pPr>
                                                                                                                  <w:r>
                                                                                                                    <w:rPr>
                                                                                                                      <w:b w:val="0"/>
                                                                                                                      <w:bCs w:val="0"/>
                                                                                                                      <w:i w:val="0"/>
                                                                                                                      <w:iCs w:val="0"/>
                                                                                                                      <w:smallCaps w:val="0"/>
                                                                                                                      <w:color w:val="000000"/>
                                                                                                                      <w:sz w:val="16"/>
                                                                                                                    </w:rPr>
                                                                                                                    <w:t>0 of 3 Involvements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Business Involvement Screen Groups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577"/>
                                                                                                  <w:gridCol w:w="1577"/>
                                                                                                  <w:gridCol w:w="1577"/>
                                                                                                  <w:gridCol w:w="1577"/>
                                                                                                  <w:gridCol w:w="1577"/>
                                                                                                  <w:gridCol w:w="1577"/>
                                                                                                  <w:gridCol w:w="1577"/>
                                                                                                </w:tblGrid>
                                                                                                <w:tr>
                                                                                                  <w:tblPrEx>
                                                                                                    <w:tblW w:w="100%" w:type="pct"/>
                                                                                                    <w:tblCellMar>
                                                                                                      <w:top w:w="0.75pt" w:type="dxa"/>
                                                                                                      <w:start w:w="0.75pt" w:type="dxa"/>
                                                                                                      <w:bottom w:w="0.75pt" w:type="dxa"/>
                                                                                                      <w:end w:w="0.75pt" w:type="dxa"/>
                                                                                                    </w:tblCellMar>
                                                                                                    <w:tblLook w:firstColumn="1" w:firstRow="1" w:lastColumn="1" w:lastRow="1" w:noVBand="1"/>
                                                                                                  </w:tblPrEx>
                                                                                                  <w:trPr>
                                                                                                    <w:tblHeader/>
                                                                                                  </w:trPr>
                                                                                                  <w:tc>
                                                                                                    <w:tcPr>
                                                                                                      <w:tcW w:w="14.3%"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Business Involvement Screen Group</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Business Involvement Screen Revenue (Mex$M)</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Business Involvement Screen Revenue (%)</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Total Revenue (Mex$M)</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Exclusionary Screen Maximum Ownership (%)</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Exclusionary Screen Ownership Count (actual)</w:t>
                                                                                                      </w:r>
                                                                                                    </w:p>
                                                                                                  </w:tc>
                                                                                                  <w:tc>
                                                                                                    <w:tcPr>
                                                                                                      <w:tcW w:w="14.3%"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Exclusionary Screen Max Ownership Count (actual)</w:t>
                                                                                                      </w:r>
                                                                                                    </w:p>
                                                                                                  </w:tc>
                                                                                                </w:tr>
                                                                                                <w:tr>
                                                                                                  <w:tblPrEx>
                                                                                                    <w:tblW w:w="100%" w:type="pct"/>
                                                                                                    <w:tblCellMar>
                                                                                                      <w:top w:w="0.75pt" w:type="dxa"/>
                                                                                                      <w:start w:w="0.75pt" w:type="dxa"/>
                                                                                                      <w:bottom w:w="0.75pt" w:type="dxa"/>
                                                                                                      <w:end w:w="0.75pt" w:type="dxa"/>
                                                                                                    </w:tblCellMar>
                                                                                                    <w:tblLook w:firstColumn="1" w:firstRow="1" w:lastColumn="1" w:lastRow="1" w:noVBand="1"/>
                                                                                                  </w:tblPrEx>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Consumer Products &amp; Services</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413,359.04</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r>
                                                                                                <w:tr>
                                                                                                  <w:tblPrEx>
                                                                                                    <w:tblW w:w="100%" w:type="pct"/>
                                                                                                    <w:tblCellMar>
                                                                                                      <w:top w:w="0.75pt" w:type="dxa"/>
                                                                                                      <w:start w:w="0.75pt" w:type="dxa"/>
                                                                                                      <w:bottom w:w="0.75pt" w:type="dxa"/>
                                                                                                      <w:end w:w="0.75pt" w:type="dxa"/>
                                                                                                    </w:tblCellMar>
                                                                                                    <w:tblLook w:firstColumn="1" w:firstRow="1" w:lastColumn="1" w:lastRow="1" w:noVBand="1"/>
                                                                                                  </w:tblPrEx>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Defense &amp; Weapons</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413,359.04</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25</w:t>
                                                                                                      </w:r>
                                                                                                    </w:p>
                                                                                                  </w:tc>
                                                                                                </w:tr>
                                                                                                <w:tr>
                                                                                                  <w:tblPrEx>
                                                                                                    <w:tblW w:w="100%" w:type="pct"/>
                                                                                                    <w:tblCellMar>
                                                                                                      <w:top w:w="0.75pt" w:type="dxa"/>
                                                                                                      <w:start w:w="0.75pt" w:type="dxa"/>
                                                                                                      <w:bottom w:w="0.75pt" w:type="dxa"/>
                                                                                                      <w:end w:w="0.75pt" w:type="dxa"/>
                                                                                                    </w:tblCellMar>
                                                                                                    <w:tblLook w:firstColumn="1" w:firstRow="1" w:lastColumn="1" w:lastRow="1" w:noVBand="1"/>
                                                                                                  </w:tblPrEx>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Energy &amp; Fossil Fuels</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413,359.04</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14.3%"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19</w:t>
                                                                                                      </w:r>
                                                                                                    </w:p>
                                                                                                  </w:tc>
                                                                                                </w:tr>
                                                                                                <w:tr>
                                                                                                  <w:tblPrEx>
                                                                                                    <w:tblW w:w="100%" w:type="pct"/>
                                                                                                    <w:tblCellMar>
                                                                                                      <w:top w:w="0.75pt" w:type="dxa"/>
                                                                                                      <w:start w:w="0.75pt" w:type="dxa"/>
                                                                                                      <w:bottom w:w="0.75pt" w:type="dxa"/>
                                                                                                      <w:end w:w="0.75pt" w:type="dxa"/>
                                                                                                    </w:tblCellMar>
                                                                                                    <w:tblLook w:firstColumn="1" w:firstRow="1" w:lastColumn="1" w:lastRow="1" w:noVBand="1"/>
                                                                                                  </w:tblPrEx>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Healthcare</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413,359.04</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14.3%"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Consumer Products &amp; Services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782"/>
                                                                                            <w:gridCol w:w="695"/>
                                                                                            <w:gridCol w:w="1335"/>
                                                                                            <w:gridCol w:w="1435"/>
                                                                                            <w:gridCol w:w="1423"/>
                                                                                            <w:gridCol w:w="1318"/>
                                                                                            <w:gridCol w:w="1586"/>
                                                                                            <w:gridCol w:w="803"/>
                                                                                            <w:gridCol w:w="662"/>
                                                                                          </w:tblGrid>
                                                                                          <w:tr>
                                                                                            <w:tblPrEx>
                                                                                              <w:tblW w:w="100%" w:type="pct"/>
                                                                                              <w:tblCellMar>
                                                                                                <w:top w:w="0.75pt" w:type="dxa"/>
                                                                                                <w:start w:w="0.75pt" w:type="dxa"/>
                                                                                                <w:bottom w:w="0.75pt" w:type="dxa"/>
                                                                                                <w:end w:w="0.75pt" w:type="dxa"/>
                                                                                              </w:tblCellMar>
                                                                                              <w:tblLook w:firstColumn="1" w:firstRow="1" w:lastColumn="1" w:lastRow="1" w:noVBand="1"/>
                                                                                            </w:tblPrEx>
                                                                                            <w:trPr>
                                                                                              <w:tblHeader/>
                                                                                            </w:trPr>
                                                                                            <w:tc>
                                                                                              <w:tcPr>
                                                                                                <w:tcW w:w="23%"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Involvement Type</w:t>
                                                                                                </w:r>
                                                                                              </w:p>
                                                                                            </w:tc>
                                                                                            <w:tc>
                                                                                              <w:tcPr>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Revenue (Mex$M)</w:t>
                                                                                                </w:r>
                                                                                              </w:p>
                                                                                            </w:tc>
                                                                                            <w:tc>
                                                                                              <w:tcPr>
                                                                                                <w:tcW w:w="25%"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Revenue Exposed/ Total Revenue (%)</w:t>
                                                                                                </w:r>
                                                                                              </w:p>
                                                                                            </w:tc>
                                                                                            <w:tc>
                                                                                              <w:tcPr>
                                                                                                <w:tcW w:w="25%"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Calculation Method</w:t>
                                                                                                </w:r>
                                                                                              </w:p>
                                                                                            </w:tc>
                                                                                            <w:tc>
                                                                                              <w:tcPr>
                                                                                                <w:tcW w:w="20%"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Revenue Range</w:t>
                                                                                                </w:r>
                                                                                              </w:p>
                                                                                            </w:tc>
                                                                                            <w:tc>
                                                                                              <w:tcPr>
                                                                                                <w:tcW w:w="20%"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Ownership Involvement (%)</w:t>
                                                                                                </w:r>
                                                                                              </w:p>
                                                                                            </w:tc>
                                                                                            <w:tc>
                                                                                              <w:tcPr>
                                                                                                <w:tcW w:w="25%" w:type="pc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Ownership Range</w:t>
                                                                                                </w:r>
                                                                                              </w:p>
                                                                                            </w:tc>
                                                                                            <w:tc>
                                                                                              <w:tcPr>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Source Document</w:t>
                                                                                                </w:r>
                                                                                              </w:p>
                                                                                            </w:tc>
                                                                                            <w:tc>
                                                                                              <w:tcPr>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All Sources</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Adult Entertainment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Production</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and Distribution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Alcohol</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Related Products and Services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and Distribution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Animal Welfare</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Animal Testing Suspected</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Animal Testers and Breeders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Chemicals Animal Testing</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Food and Beverage Animal Testing</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Household, Cosmetics and Personal Care Product Animal Testing</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Cannabis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Wholesale (Recreational)</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Wholesale (Medical)</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(Recreational)</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(Medical)</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Fur and Specialty Leather</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Production</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and Distribution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Gambling</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Specialized Equipment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Operations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Supporting Products and Services</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Genetically Modified Organisms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Growth</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Development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Palm Oil</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Processors and Traders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Growers</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Pesticides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Production</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Predatory Lending</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Operations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Supporting Products and Services</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Tobacco</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bCs/>
                                                                                                    <w:i w:val="0"/>
                                                                                                    <w:iCs w:val="0"/>
                                                                                                    <w:smallCaps w:val="0"/>
                                                                                                    <w:color w:val="000000"/>
                                                                                                    <w:sz w:val="16"/>
                                                                                                  </w:rPr>
                                                                                                </w:pPr>
                                                                                                <w:r>
                                                                                                  <w:rPr>
                                                                                                    <w:b/>
                                                                                                    <w:bCs/>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Production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Related Products and Services</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r>
                                                                                            <w:tblPrEx>
                                                                                              <w:tblW w:w="100%" w:type="pct"/>
                                                                                              <w:tblCellMar>
                                                                                                <w:top w:w="0.75pt" w:type="dxa"/>
                                                                                                <w:start w:w="0.75pt" w:type="dxa"/>
                                                                                                <w:bottom w:w="0.75pt" w:type="dxa"/>
                                                                                                <w:end w:w="0.75pt" w:type="dxa"/>
                                                                                              </w:tblCellMar>
                                                                                              <w:tblLook w:firstColumn="1" w:firstRow="1" w:lastColumn="1" w:lastRow="1" w:noVBand="1"/>
                                                                                            </w:tblPrEx>
                                                                                            <w:tc>
                                                                                              <w:tcPr>
                                                                                                <w:tcW w:w="23%"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Retail and Distribution</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W w:w="20%"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W w:w="25%"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No Involvement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c>
                                                                                              <w:tcPr>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Defense &amp; Weapons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center"/>
                                                                                      <w:rPr>
                                                                                        <w:b w:val="0"/>
                                                                                        <w:bCs w:val="0"/>
                                                                                        <w:i w:val="0"/>
                                                                                        <w:iCs w:val="0"/>
                                                                                        <w:smallCaps w:val="0"/>
                                                                                        <w:color w:val="000000"/>
                                                                                        <w:sz w:val="16"/>
                                                                                      </w:rPr>
                                                                                    </w:pPr>
                                                                                    <w:r>
                                                                                      <w:rPr>
                                                                                        <w:b w:val="0"/>
                                                                                        <w:bCs w:val="0"/>
                                                                                        <w:i w:val="0"/>
                                                                                        <w:iCs w:val="0"/>
                                                                                        <w:smallCaps w:val="0"/>
                                                                                        <w:color w:val="000000"/>
                                                                                        <w:sz w:val="16"/>
                                                                                      </w:rPr>
                                                                                      <w:t>Further information is locked due to subscription permissions. Please contact your relationship manager or reach out to support.capiqpro@spglobal.com.</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Energy &amp; Fossil Fuels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center"/>
                                                                                      <w:rPr>
                                                                                        <w:b w:val="0"/>
                                                                                        <w:bCs w:val="0"/>
                                                                                        <w:i w:val="0"/>
                                                                                        <w:iCs w:val="0"/>
                                                                                        <w:smallCaps w:val="0"/>
                                                                                        <w:color w:val="000000"/>
                                                                                        <w:sz w:val="16"/>
                                                                                      </w:rPr>
                                                                                    </w:pPr>
                                                                                    <w:r>
                                                                                      <w:rPr>
                                                                                        <w:b w:val="0"/>
                                                                                        <w:bCs w:val="0"/>
                                                                                        <w:i w:val="0"/>
                                                                                        <w:iCs w:val="0"/>
                                                                                        <w:smallCaps w:val="0"/>
                                                                                        <w:color w:val="000000"/>
                                                                                        <w:sz w:val="16"/>
                                                                                      </w:rPr>
                                                                                      <w:t>Further information is locked due to subscription permissions. Please contact your relationship manager or reach out to support.capiqpro@spglobal.com.</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3.25pt" w:type="dxa"/>
                                                                                      <w:start w:w="2.5pt" w:type="dxa"/>
                                                                                      <w:bottom w:w="3.25pt" w:type="dxa"/>
                                                                                      <w:end w:w="4pt" w:type="dxa"/>
                                                                                    </w:tcMar>
                                                                                    <w:vAlign w:val="top"/>
                                                                                    <w:hideMark/>
                                                                                  </w:tcPr>
                                                                                  <w:p>
                                                                                    <w:pPr>
                                                                                      <w:jc w:val="start"/>
                                                                                      <w:rPr>
                                                                                        <w:b/>
                                                                                        <w:bCs/>
                                                                                        <w:i w:val="0"/>
                                                                                        <w:iCs w:val="0"/>
                                                                                        <w:smallCaps w:val="0"/>
                                                                                        <w:color w:val="FFFFFF"/>
                                                                                        <w:sz w:val="18"/>
                                                                                        <w:szCs w:val="20"/>
                                                                                      </w:rPr>
                                                                                    </w:pPr>
                                                                                    <w:r>
                                                                                      <w:rPr>
                                                                                        <w:b/>
                                                                                        <w:bCs/>
                                                                                        <w:i w:val="0"/>
                                                                                        <w:iCs w:val="0"/>
                                                                                        <w:smallCaps w:val="0"/>
                                                                                        <w:color w:val="FFFFFF"/>
                                                                                        <w:sz w:val="18"/>
                                                                                        <w:szCs w:val="20"/>
                                                                                      </w:rPr>
                                                                                      <w:t>Healthcare</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center"/>
                                                                                      <w:rPr>
                                                                                        <w:b w:val="0"/>
                                                                                        <w:bCs w:val="0"/>
                                                                                        <w:i w:val="0"/>
                                                                                        <w:iCs w:val="0"/>
                                                                                        <w:smallCaps w:val="0"/>
                                                                                        <w:color w:val="000000"/>
                                                                                        <w:sz w:val="16"/>
                                                                                      </w:rPr>
                                                                                    </w:pPr>
                                                                                    <w:r>
                                                                                      <w:rPr>
                                                                                        <w:b w:val="0"/>
                                                                                        <w:bCs w:val="0"/>
                                                                                        <w:i w:val="0"/>
                                                                                        <w:iCs w:val="0"/>
                                                                                        <w:smallCaps w:val="0"/>
                                                                                        <w:color w:val="000000"/>
                                                                                        <w:sz w:val="16"/>
                                                                                      </w:rPr>
                                                                                      <w:t>Further information is locked due to subscription permissions. Please contact your relationship manager or reach out to support.capiqpro@spglobal.com.</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4"/>
      <w:footerReference w:type="default" r:id="rId5"/>
      <w:headerReference w:type="first" r:id="rId6"/>
      <w:footerReference w:type="first" r:id="rId7"/>
      <w:pgSz w:w="12240" w:h="15840"/>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010400" cy="0"/>
          <wp:effectExtent l="0" t="0" r="0" b="0"/>
          <wp:wrapNone/>
          <wp:docPr id="100005" name="Line 100005"/>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010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572"/>
      <w:gridCol w:w="468"/>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sz w:val="17"/>
              <w:szCs w:val="17"/>
            </w:rPr>
          </w:pPr>
          <w:r>
            <w:rPr>
              <w:b w:val="0"/>
              <w:bCs w:val="0"/>
              <w:i w:val="0"/>
              <w:iCs w:val="0"/>
              <w:smallCaps w:val="0"/>
              <w:color w:val="000000"/>
              <w:sz w:val="17"/>
              <w:szCs w:val="17"/>
            </w:rPr>
            <w:drawing>
              <wp:inline>
                <wp:extent cx="1724266" cy="476316"/>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9861498"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7"/>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szCs w:val="17"/>
            </w:rPr>
          </w:pPr>
          <w:r>
            <w:rPr>
              <w:b/>
              <w:bCs w:val="0"/>
              <w:i w:val="0"/>
              <w:iCs w:val="0"/>
              <w:smallCaps w:val="0"/>
              <w:color w:val="000000"/>
              <w:sz w:val="16"/>
              <w:szCs w:val="17"/>
            </w:rPr>
            <w:t>Grupo Bimbo, S.A.B. de C.V. | Business Involvement Screens</w:t>
          </w:r>
        </w:p>
        <w:p>
          <w:pPr>
            <w:keepLines w:val="0"/>
            <w:spacing w:before="0" w:beforeAutospacing="0" w:after="0" w:afterAutospacing="0" w:line="0" w:lineRule="atLeast"/>
            <w:jc w:val="start"/>
            <w:rPr>
              <w:b/>
              <w:bCs w:val="0"/>
              <w:i w:val="0"/>
              <w:iCs w:val="0"/>
              <w:smallCaps w:val="0"/>
              <w:color w:val="000000"/>
              <w:sz w:val="16"/>
              <w:szCs w:val="17"/>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7010400" cy="0"/>
                <wp:effectExtent l="0" t="0" r="0" b="0"/>
                <wp:wrapNone/>
                <wp:docPr id="100002" name="Line 100002"/>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659"/>
      <w:gridCol w:w="381"/>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drawing>
              <wp:inline>
                <wp:extent cx="1724266" cy="476316"/>
                <wp:docPr id="100003"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9364040"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5"/>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szCs w:val="17"/>
            </w:rPr>
          </w:pPr>
          <w:r>
            <w:rPr>
              <w:b/>
              <w:bCs w:val="0"/>
              <w:i w:val="0"/>
              <w:iCs w:val="0"/>
              <w:smallCaps w:val="0"/>
              <w:color w:val="000000"/>
              <w:sz w:val="20"/>
              <w:szCs w:val="17"/>
            </w:rPr>
            <w:t>Grupo Bimbo, S.A.B. de C.V. | Business Involvement Screens</w:t>
          </w:r>
        </w:p>
        <w:p>
          <w:pPr>
            <w:keepLines w:val="0"/>
            <w:spacing w:before="0" w:beforeAutospacing="0" w:after="0" w:afterAutospacing="0" w:line="0" w:lineRule="atLeast"/>
            <w:jc w:val="start"/>
            <w:rPr>
              <w:b/>
              <w:bCs w:val="0"/>
              <w:i w:val="0"/>
              <w:iCs w:val="0"/>
              <w:smallCaps w:val="0"/>
              <w:color w:val="000000"/>
              <w:sz w:val="20"/>
              <w:szCs w:val="17"/>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010400" cy="0"/>
                <wp:effectExtent l="0" t="0" r="0" b="0"/>
                <wp:wrapNone/>
                <wp:docPr id="100004" name="Line 100004"/>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paragraph" w:customStyle="1" w:styleId="hui-padding-left10">
    <w:name w:val="hui-padding-left10"/>
    <w:basedOn w:val="Normal"/>
    <w:pPr>
      <w:pBdr>
        <w:left w:val="none" w:sz="0" w:space="7" w:color="auto"/>
      </w:pBdr>
    </w:pPr>
  </w:style>
  <w:style w:type="character" w:customStyle="1" w:styleId="b">
    <w:name w:val="b"/>
    <w:basedOn w:val="DefaultParagraphFont"/>
    <w:rPr>
      <w:b/>
      <w:bCs/>
    </w:rPr>
  </w:style>
  <w:style w:type="table" w:customStyle="1" w:styleId="hui-box">
    <w:name w:val="hui-box"/>
    <w:basedOn w:val="TableNormal"/>
    <w:tblPr/>
  </w:style>
  <w:style w:type="paragraph" w:customStyle="1" w:styleId="div">
    <w:name w:val="div"/>
    <w:basedOn w:val="Normal"/>
    <w:rPr>
      <w:rFonts w:ascii="Arial" w:eastAsia="Arial" w:hAnsi="Arial" w:cs="Arial"/>
      <w:sz w:val="18"/>
      <w:szCs w:val="18"/>
    </w:rPr>
  </w:style>
  <w:style w:type="paragraph" w:customStyle="1" w:styleId="hui-wrap">
    <w:name w:val="hui-wrap"/>
    <w:basedOn w:val="Normal"/>
  </w:style>
  <w:style w:type="table" w:customStyle="1" w:styleId="tablehui-grid">
    <w:name w:val="table_hui-grid"/>
    <w:basedOn w:val="TableNormal"/>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footer" Target="footer1.xml" /><Relationship Id="rId6" Type="http://purl.oclc.org/ooxml/officeDocument/relationships/header" Target="header2.xml" /><Relationship Id="rId7" Type="http://purl.oclc.org/ooxml/officeDocument/relationships/footer" Target="footer2.xml" /><Relationship Id="rId8" Type="http://purl.oclc.org/ooxml/officeDocument/relationships/styles" Target="styles.xml" /></Relationships>
</file>

<file path=word/_rels/header1.xml.rels>&#65279;<?xml version="1.0" encoding="utf-8" standalone="yes"?><Relationships xmlns="http://schemas.openxmlformats.org/package/2006/relationships"><Relationship Id="rId1" Type="http://purl.oclc.org/ooxml/officeDocument/relationships/image" Target="media/image1.png" /></Relationships>
</file>

<file path=word/_rels/header2.xml.rels>&#65279;<?xml version="1.0" encoding="utf-8" standalone="yes"?><Relationships xmlns="http://schemas.openxmlformats.org/package/2006/relationships"><Relationship Id="rId1" Type="http://purl.oclc.org/ooxml/officeDocument/relationships/image" Target="media/image1.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