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StyleTable"/>
        <w:tblW w:w="95%" w:type="pct"/>
        <w:jc w:val="center"/>
        <w:tblCellSpacing w:w="0pt" w:type="dxa"/>
        <w:tblInd w:w="4.5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5201"/>
        <w:gridCol w:w="5201"/>
      </w:tblGrid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cantSplit/>
          <w:tblHeader/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keepLines w:val="0"/>
              <w:spacing w:before="0" w:beforeAutospacing="0" w:after="0" w:afterAutospacing="0"/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Sustainability &amp; Climate Overview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S&amp;P Global offers a diverse range of sustainability measurements and workflow solutions. The themes are a selection of company specific measurements that are essential for measuring performance and progress on sustainability topics. The measurements are derived from a broad ecosystem of proprietary datasets that include corporate sustainability assessments (CSA), environmental and climate risk measurements.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Environmental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Biodiversity &amp; Land Use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Published policy or commitment on biodiversity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Minority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44.00% of the industry responded 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Energy, Transition, Resource Efficiency &amp; Circularity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GHG Scope 1 intensity - (tonnes/$mm)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49.95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Ahead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54.00% below average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Climate Transition &amp; Physical Risks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Paris Alignment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3-4°C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Behind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2.94% of the industry is within 1.5-2°C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Climate Transition &amp; Physical Risks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Composite score, 2030 medium risk scenario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59/100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Adequate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3.80% above average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Social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Employment Practices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Share of women in all management positions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25.00%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Lagging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6.51% below average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Human Capital Development &amp; Talent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Employee turnover rate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NA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-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No data available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Employee Health, Safety &amp; Wellbeing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Lost-time injury frequency rate for employees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1.42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Ahead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46.63% below average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Human Rights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Published human rights policy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Majority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70.67% of the industry responded 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Governance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Ethics &amp; Compliance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Code of conduct addresses corruption &amp; bribery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Majority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77.33% of the industry responded Yes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Corporate Governance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Number of female directors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5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Ahead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3 above average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Corporate Governance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CEO to employee pay ratio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NA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-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No data available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gridSpan w:val="2"/>
            <w:shd w:val="clear" w:color="auto" w:fill="525252"/>
            <w:noWrap w:val="0"/>
            <w:tcMar>
              <w:top w:w="3.75pt" w:type="dxa"/>
              <w:start w:w="3.75pt" w:type="dxa"/>
              <w:bottom w:w="3.75pt" w:type="dxa"/>
              <w:end w:w="3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</w:pPr>
            <w:r>
              <w:rPr>
                <w:b/>
                <w:bCs/>
                <w:i w:val="0"/>
                <w:iCs w:val="0"/>
                <w:smallCaps w:val="0"/>
                <w:color w:val="FFFFFF"/>
                <w:sz w:val="18"/>
                <w:szCs w:val="20"/>
              </w:rPr>
              <w:t>Risk &amp; Crisis Management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Question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Published risk management processes &amp; strategies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Response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NA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Comparison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-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6"/>
                <w:szCs w:val="18"/>
              </w:rPr>
              <w:t>Industry Average</w:t>
            </w:r>
          </w:p>
        </w:tc>
        <w:tc>
          <w:tcPr>
            <w:tcW w:w="50%" w:type="pct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end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No data available</w:t>
            </w:r>
          </w:p>
        </w:tc>
      </w:tr>
      <w:tr>
        <w:tblPrEx>
          <w:tblW w:w="95%" w:type="pct"/>
          <w:jc w:val="center"/>
          <w:tblCellSpacing w:w="0pt" w:type="dxa"/>
          <w:tblInd w:w="4.5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  <w:jc w:val="center"/>
        </w:trPr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0%" w:type="pct"/>
            <w:shd w:val="clear" w:color="auto" w:fill="F9F9F9"/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</w:tbl>
    <w:p>
      <w:pPr>
        <w:spacing w:after="150"/>
        <w:ind w:start="75" w:end="75"/>
        <w:rPr>
          <w:sz w:val="22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815"/>
      <w:gridCol w:w="225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4706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t>Grupo Bimbo, S.A.B. de C.V. BMV:BIMBO A (MI KEY: 4276592; SPCIQ KEY: 877906; TCUID: 53231) | Sustainability &amp; Climate Overview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824"/>
      <w:gridCol w:w="216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2191126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  <w:t>Grupo Bimbo, S.A.B. de C.V. BMV:BIMBO A (MI KEY: 4276592; SPCIQ KEY: 877906; TCUID: 53231) | Sustainability &amp; Climate Overview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table" w:customStyle="1" w:styleId="StyleTable">
    <w:name w:val="StyleTable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