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rPr>
                            <w:tblHeader/>
                          </w:trPr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gap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11.2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11.2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Summary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11.2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4575"/>
                                                  <w:gridCol w:w="6405"/>
                                                  <w:gridCol w:w="366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2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Current Dividend Yield (%)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BMV: BIMBO A Common Equity Dividends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Series A Shares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1.94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OTCQX: BMBO.Y Depositary Receipt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American Depositary Receipts Series A Shares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2.09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gap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11.2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11.2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Common Equity Dividends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11.2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3050"/>
                                                  <w:gridCol w:w="1830"/>
                                                  <w:gridCol w:w="1525"/>
                                                  <w:gridCol w:w="1525"/>
                                                  <w:gridCol w:w="1525"/>
                                                  <w:gridCol w:w="1220"/>
                                                  <w:gridCol w:w="1220"/>
                                                  <w:gridCol w:w="1525"/>
                                                  <w:gridCol w:w="122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2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Declared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Announce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Ex-Date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Record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Pay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(Mex$)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Frequency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Type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BMV: BIMBO A Common Equity Dividends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5/12/2026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5/12/2026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1.0750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4/14/2025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5/13/2025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5/14/2025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1.0000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4/12/2024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5/10/2024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5/14/2024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0.9400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4/10/2023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5/16/2023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5/17/2023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5/18/2023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0.7800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Semi-Annual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11/3/2022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11/24/2022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11/25/2022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0.6500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Semi-Annual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5/17/2022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5/19/2022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0.6500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5/13/2021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5/14/2021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5/17/2021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1.0000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4/14/2020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5/8/2020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5/11/2020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5/12/2020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0.5000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4/4/2019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5/9/2019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5/10/2019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0.4500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5/3/2018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5/4/2018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0.3500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4/24/2017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4/26/2017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4/27/2017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0.2900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3/18/2016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3/18/2016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4/22/2016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4/26/2016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4/27/2016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0.2400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11/6/2013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11/6/2013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11/28/2013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12/2/2013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0.3500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3/14/2013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3/14/2013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4/15/2013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4/17/2013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4/18/2013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0.1650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4/12/2012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4/12/2012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4/17/2012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4/19/2012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4/20/2012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0.1500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3/24/2011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4/25/2011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4/27/2011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4/28/2011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0.5000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4/19/2010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4/19/2010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4/21/2010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4/22/2010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0.4545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4/21/2009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4/21/2009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4/23/2009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4/24/2009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0.4182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4/16/2008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4/16/2008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4/18/2008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4/21/2008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0.4182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5/2/2007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5/2/2007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4/19/2007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0.3636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11/21/2006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11/21/2006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11/22/2006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11/23/2006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0.2818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4/17/2006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4/17/2006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4/6/2006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4/19/2006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0.2818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4/14/2005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4/14/2005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4/15/2005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4/18/2005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0.2545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11/15/2004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11/15/2004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11/16/2004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11/17/2004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0.5455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5/4/2004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5/4/2004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5/5/2004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5/6/2004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0.2182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5/6/2003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5/6/2003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5/5/2003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5/8/2003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0.1909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4/26/2002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4/26/2002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4/25/2002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4/30/2002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0.1909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5/7/2001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5/7/2001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5/4/2001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5/9/2001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0.1545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5/8/2000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5/8/2000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5/5/2000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5/10/2000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0.1364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12/17/1998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12/17/1998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12/16/1998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12/21/1998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0.1136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4/30/1998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5/6/1998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0.0682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4/30/1998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5/6/1998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0.4621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Quarterly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5/2/1997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5/2/1997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4/30/1997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5/7/1997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0.2066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4/29/1996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5/2/1996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0.1722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5/9/1995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5/9/1995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5/11/1995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0.1377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4/29/1994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5/4/1994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0.1377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Stock Splits/Dividends &amp; Adjustment Events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635"/>
                                                  <w:gridCol w:w="2928"/>
                                                  <w:gridCol w:w="2635"/>
                                                  <w:gridCol w:w="1464"/>
                                                  <w:gridCol w:w="3221"/>
                                                  <w:gridCol w:w="175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Announce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Ex-Dividend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Pay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Adjustment Factor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Type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BMV: BIMBO A Common Equity Dividends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4/18/2011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4/25/2011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1.1000 (1.1000:1)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Split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4/29/1999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1.2000 (20.00%)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Dividend / Rights Issue / Bonus Issue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3/3/1998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1.1000 (1.1000:1)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Split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Depositary Receipts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3050"/>
                                                  <w:gridCol w:w="1525"/>
                                                  <w:gridCol w:w="1525"/>
                                                  <w:gridCol w:w="1525"/>
                                                  <w:gridCol w:w="1525"/>
                                                  <w:gridCol w:w="1525"/>
                                                  <w:gridCol w:w="1220"/>
                                                  <w:gridCol w:w="1525"/>
                                                  <w:gridCol w:w="122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2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Declared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Announce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Ex-Date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Record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Pay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(Mex$)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Frequency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Type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OTCQX: BMBO.Y Depositary Receipt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5/15/2026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4.3359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5/13/2025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4.0134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5/3/2024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5/10/2024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5/13/2024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5/21/2024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3.7314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4/28/2023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5/16/2023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5/17/2023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5/25/2023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3.0736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Semi-Annual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11/18/2022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11/25/2022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12/5/2022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2.6004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Semi-Annual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4/29/2022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5/17/2022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5/18/2022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5/26/2022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2.6044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5/13/2021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5/14/2021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5/24/2021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4.0540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4/30/2020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5/8/2020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5/11/2020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5/19/2020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1.9586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5/9/2019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5/10/2019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5/20/2019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1.8065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5/7/2018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5/16/2018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5/17/2018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5/22/2018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1.4200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2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19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-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5/2/2017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5/2/2017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5/4/2017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5/11/2017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span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0.9120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Annual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8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Cash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5.25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hui-grid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tcBorders>
                                            <w:top w:val="single" w:sz="6" w:space="0" w:color="E3E3E3"/>
                                          </w:tcBorders>
                                          <w:shd w:val="clear" w:color="auto" w:fill="F9F9F9"/>
                                          <w:noWrap w:val="0"/>
                                          <w:tcMar>
                                            <w:top w:w="4.1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  <w:t>‡ This is an estimated dividend.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Dividend information is only comprehensive for primary common equities.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884"/>
      <w:gridCol w:w="756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7283191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 xml:space="preserve">Grupo Bimbo, S.A.B. de C.V. | Dividends &amp; Splits 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23"/>
      <w:gridCol w:w="61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4583868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 xml:space="preserve">Grupo Bimbo, S.A.B. de C.V. | Dividends &amp; Splits 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gap">
    <w:name w:val="hui-gap"/>
    <w:basedOn w:val="TableNormal"/>
    <w:tblPr/>
  </w:style>
  <w:style w:type="character" w:customStyle="1" w:styleId="span">
    <w:name w:val="span"/>
    <w:basedOn w:val="DefaultParagraphFont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