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2006FY filed Mar 01, 2007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2006(Dec-31-2006)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17"/>
                                                  <w:gridCol w:w="1988"/>
                                                  <w:gridCol w:w="872"/>
                                                  <w:gridCol w:w="881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4"/>
                                                  <w:gridCol w:w="136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10.28% Bancolombia, August 4, 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14,426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10.2800%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Aug-04-2011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12.0% Banco Mercantil, S.A. C.A., February 12,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10,875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Feb-12-2007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12.0% Banco Mercantil, S.A. C.A., Februay 9,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76,129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Feb-09-2007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12.71% Leasing Del Valle S.A., January 29,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12.7100%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Jan-29-2007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12.71% Leasing Del Valle S.A., March 8,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592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12.7100%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Mar-08-2009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12.78% Leasing-GMAC Financiera De C, July 1,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1,426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12.7800%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Jul-01-2009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5.0% ABN Amor Bank N.V., February 21,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6,667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Feb-21-2007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5.78% Linea Multimoneda Rev Y Comp, July 21, 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1,359,438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5.7800%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Jul-21-2010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5.86% Bank of East Asia, June 5,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27,050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Jun-05-2007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7.44% Banco De Galicia Y Buenos Ai, July 3,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7.4400%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Jul-03-2007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7.5% Credito Leasing, June 1,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1,271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Jun-01-2009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7.5% Credito Leasing, March 1,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Mar-01-2007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8.14% National Financiera, February 28,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112,110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Feb-28-2007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8.74% International Finance Corpor, February 15,2008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256,662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8.7400%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Feb-15-2008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9.03% Banco De Credito, May 8, 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9.0300%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May-08-2011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Receivables of the Stock Exchange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Borrowings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6,500,000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8152144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0654619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