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purl.oclc.org/ooxml/officeDocument/relationships/officeDocument" Target="word/document.xml" /><Relationship Id="rId2" Type="http://purl.oclc.org/ooxml/officeDocument/relationships/extended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 w:conformance="strict">
  <!-- Generated by Aspose.Words for .NET 19.1 -->
  <w:body>
    <w:tbl>
      <w:tblPr>
        <w:tblStyle w:val="table"/>
        <w:tblpPr w:leftFromText="150" w:rightFromText="150" w:topFromText="0" w:bottomFromText="0" w:vertAnchor="text" w:tblpY="1"/>
        <w:tblOverlap w:val="never"/>
        <w:tblW w:w="100%" w:type="pct"/>
        <w:tblCellMar>
          <w:top w:w="0.75pt" w:type="dxa"/>
          <w:start w:w="0.75pt" w:type="dxa"/>
          <w:bottom w:w="0.75pt" w:type="dxa"/>
          <w:end w:w="0.75pt" w:type="dxa"/>
        </w:tblCellMar>
        <w:tblLook w:firstColumn="1" w:firstRow="1" w:lastColumn="1" w:lastRow="1" w:noVBand="1"/>
      </w:tblPr>
      <w:tblGrid>
        <w:gridCol w:w="14640"/>
      </w:tblGrid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col-md-12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rPr>
                      <w:cantSplit/>
                    </w:trPr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keepLines w:val="0"/>
                          <w:spacing w:before="0" w:beforeAutospacing="0" w:after="0" w:afterAutospacing="0"/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BMV: BIMBO A (MI KEY: 4276592; SPCIQ KEY: 877906)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15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  <w:tr>
        <w:tblPrEx>
          <w:tblW w:w="100%" w:type="pct"/>
          <w:tblCellMar>
            <w:top w:w="0.75pt" w:type="dxa"/>
            <w:start w:w="0.75pt" w:type="dxa"/>
            <w:bottom w:w="0.75pt" w:type="dxa"/>
            <w:end w:w="0.75pt" w:type="dxa"/>
          </w:tblCellMar>
          <w:tblLook w:firstColumn="1" w:firstRow="1" w:lastColumn="1" w:lastRow="1" w:noVBand="1"/>
        </w:tblPrEx>
        <w:tc>
          <w:tcPr>
            <w:noWrap w:val="0"/>
            <w:tcMar>
              <w:top w:w="1pt" w:type="dxa"/>
              <w:start w:w="1pt" w:type="dxa"/>
              <w:bottom w:w="1pt" w:type="dxa"/>
              <w:end w:w="1pt" w:type="dxa"/>
            </w:tcMar>
            <w:vAlign w:val="top"/>
            <w:hideMark/>
          </w:tcPr>
          <w:tbl>
            <w:tblPr>
              <w:tblStyle w:val="table"/>
              <w:tblpPr w:leftFromText="0" w:rightFromText="0" w:topFromText="0" w:bottomFromText="0" w:vertAnchor="text" w:tblpY="1"/>
              <w:tblOverlap w:val="never"/>
              <w:tblW w:w="100%" w:type="pct"/>
              <w:tblCellMar>
                <w:top w:w="0.75pt" w:type="dxa"/>
                <w:start w:w="0.75pt" w:type="dxa"/>
                <w:bottom w:w="0.75pt" w:type="dxa"/>
                <w:end w:w="0.75pt" w:type="dxa"/>
              </w:tblCellMar>
              <w:tblLook w:firstColumn="1" w:firstRow="1" w:lastColumn="1" w:lastRow="1" w:noVBand="1"/>
            </w:tblPr>
            <w:tblGrid>
              <w:gridCol w:w="14640"/>
            </w:tblGrid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 w:val="0"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col-md-12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860"/>
                    <w:gridCol w:w="1378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Source: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S&amp;P Capital IQ - Standard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 Category: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Annual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Periods: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2011FY filed Apr 27, 2012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Currency: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Reported Currency</w:t>
                        </w: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3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/>
                            <w:bCs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Magnitude:</w:t>
                        </w:r>
                      </w:p>
                    </w:tc>
                    <w:tc>
                      <w:tcPr>
                        <w:tcW w:w="90%" w:type="pct"/>
                        <w:noWrap w:val="0"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p>
                        <w:pPr>
                          <w:jc w:val="start"/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</w:pPr>
                        <w: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5"/>
                            <w:szCs w:val="17"/>
                          </w:rPr>
                          <w:t>Thousands (K)</w:t>
                        </w: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  <w:tr>
              <w:tblPrEx>
                <w:tblW w:w="100%" w:type="pct"/>
                <w:tblCellMar>
                  <w:top w:w="0.75pt" w:type="dxa"/>
                  <w:start w:w="0.75pt" w:type="dxa"/>
                  <w:bottom w:w="0.75pt" w:type="dxa"/>
                  <w:end w:w="0.75pt" w:type="dxa"/>
                </w:tblCellMar>
                <w:tblLook w:firstColumn="1" w:firstRow="1" w:lastColumn="1" w:lastRow="1" w:noVBand="1"/>
              </w:tblPrEx>
              <w:tc>
                <w:tcPr>
                  <w:tcW w:w="100%" w:type="pct"/>
                  <w:noWrap/>
                  <w:tcMar>
                    <w:top w:w="1pt" w:type="dxa"/>
                    <w:start w:w="1pt" w:type="dxa"/>
                    <w:bottom w:w="1pt" w:type="dxa"/>
                    <w:end w:w="1pt" w:type="dxa"/>
                  </w:tcMar>
                  <w:vAlign w:val="top"/>
                  <w:hideMark/>
                </w:tcPr>
                <w:tbl>
                  <w:tblPr>
                    <w:tblStyle w:val="table"/>
                    <w:tblpPr w:leftFromText="0" w:rightFromText="0" w:topFromText="0" w:bottomFromText="0" w:vertAnchor="text" w:tblpY="1"/>
                    <w:tblOverlap w:val="never"/>
                    <w:tblW w:w="100%" w:type="pct"/>
                    <w:tblCellMar>
                      <w:top w:w="0.75pt" w:type="dxa"/>
                      <w:start w:w="0.75pt" w:type="dxa"/>
                      <w:bottom w:w="0.75pt" w:type="dxa"/>
                      <w:end w:w="0.75pt" w:type="dxa"/>
                    </w:tblCellMar>
                    <w:tblLook w:firstColumn="1" w:firstRow="1" w:lastColumn="1" w:lastRow="1" w:noVBand="1"/>
                  </w:tblPr>
                  <w:tblGrid>
                    <w:gridCol w:w="14640"/>
                  </w:tblGrid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table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1.5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p>
                              <w:pPr>
                                <w:jc w:val="start"/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  <w:tr>
                    <w:tblPrEx>
                      <w:tblW w:w="100%" w:type="pct"/>
                      <w:tblCellMar>
                        <w:top w:w="0.75pt" w:type="dxa"/>
                        <w:start w:w="0.75pt" w:type="dxa"/>
                        <w:bottom w:w="0.75pt" w:type="dxa"/>
                        <w:end w:w="0.75pt" w:type="dxa"/>
                      </w:tblCellMar>
                      <w:tblLook w:firstColumn="1" w:firstRow="1" w:lastColumn="1" w:lastRow="1" w:noVBand="1"/>
                    </w:tblPrEx>
                    <w:tc>
                      <w:tcPr>
                        <w:tcW w:w="100%" w:type="pct"/>
                        <w:noWrap/>
                        <w:tcMar>
                          <w:top w:w="1pt" w:type="dxa"/>
                          <w:start w:w="1pt" w:type="dxa"/>
                          <w:bottom w:w="1pt" w:type="dxa"/>
                          <w:end w:w="1pt" w:type="dxa"/>
                        </w:tcMar>
                        <w:vAlign w:val="top"/>
                        <w:hideMark/>
                      </w:tcPr>
                      <w:tbl>
                        <w:tblPr>
                          <w:tblStyle w:val="col-md-12"/>
                          <w:tblpPr w:leftFromText="0" w:rightFromText="0" w:topFromText="0" w:bottomFromText="0" w:vertAnchor="text" w:tblpY="1"/>
                          <w:tblOverlap w:val="never"/>
                          <w:tblW w:w="100%" w:type="pct"/>
                          <w:tblCellMar>
                            <w:top w:w="0.75pt" w:type="dxa"/>
                            <w:start w:w="0.75pt" w:type="dxa"/>
                            <w:bottom w:w="0.75pt" w:type="dxa"/>
                            <w:end w:w="0.75pt" w:type="dxa"/>
                          </w:tblCellMar>
                          <w:tblLook w:firstColumn="1" w:firstRow="1" w:lastColumn="1" w:lastRow="1" w:noVBand="1"/>
                        </w:tblPr>
                        <w:tblGrid>
                          <w:gridCol w:w="14640"/>
                        </w:tblGrid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0.7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shd w:val="clear" w:color="auto" w:fill="525252"/>
                                          <w:noWrap w:val="0"/>
                                          <w:tcMar>
                                            <w:top w:w="4pt" w:type="dxa"/>
                                            <w:start w:w="4pt" w:type="dxa"/>
                                            <w:bottom w:w="4pt" w:type="dxa"/>
                                            <w:end w:w="4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</w:pPr>
                                          <w:r>
                                            <w:rPr>
                                              <w:b/>
                                              <w:bCs/>
                                              <w:i w:val="0"/>
                                              <w:iCs w:val="0"/>
                                              <w:smallCaps w:val="0"/>
                                              <w:color w:val="FFFFFF"/>
                                              <w:sz w:val="18"/>
                                              <w:szCs w:val="20"/>
                                            </w:rPr>
                                            <w:t>FY 2011(Dec-31-2011) Capital Structure As Reported Details</w:t>
                                          </w:r>
                                        </w:p>
                                      </w:tc>
                                    </w:tr>
                                    <w:tr>
                                      <w:tblPrEx>
                                        <w:tblW w:w="100%" w:type="pct"/>
                                        <w:tblCellMar>
                                          <w:top w:w="0.7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/>
                                          <w:tcMar>
                                            <w:top w:w="1pt" w:type="dxa"/>
                                            <w:start w:w="1pt" w:type="dxa"/>
                                            <w:bottom w:w="1pt" w:type="dxa"/>
                                            <w:end w:w="1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tbl>
                                          <w:tblPr>
                                            <w:tblStyle w:val="table"/>
                                            <w:tblpPr w:leftFromText="0" w:rightFromText="0" w:topFromText="0" w:bottomFromText="0" w:vertAnchor="text" w:tblpY="1"/>
                                            <w:tblOverlap w:val="never"/>
                                            <w:tblW w:w="100%" w:type="pct"/>
                                            <w:tblCellMar>
                                              <w:top w:w="0.75pt" w:type="dxa"/>
                                              <w:start w:w="0.75pt" w:type="dxa"/>
                                              <w:bottom w:w="0.75pt" w:type="dxa"/>
                                              <w:end w:w="0.75pt" w:type="dxa"/>
                                            </w:tblCellMar>
                                            <w:tblLook w:firstColumn="1" w:firstRow="1" w:lastColumn="1" w:lastRow="1" w:noVBand="1"/>
                                          </w:tblPr>
                                          <w:tblGrid>
                                            <w:gridCol w:w="14640"/>
                                          </w:tblGrid>
                                          <w:tr>
                                            <w:tblPrEx>
                                              <w:tblW w:w="100%" w:type="pct"/>
                                              <w:tblCellMar>
                                                <w:top w:w="0.75pt" w:type="dxa"/>
                                                <w:start w:w="0.75pt" w:type="dxa"/>
                                                <w:bottom w:w="0.75pt" w:type="dxa"/>
                                                <w:end w:w="0.75pt" w:type="dxa"/>
                                              </w:tblCellMar>
                                              <w:tblLook w:firstColumn="1" w:firstRow="1" w:lastColumn="1" w:lastRow="1" w:noVBand="1"/>
                                            </w:tblPrEx>
                                            <w:tc>
                                              <w:tcPr>
                                                <w:tcW w:w="100%" w:type="pct"/>
                                                <w:noWrap/>
                                                <w:tcMar>
                                                  <w:top w:w="1pt" w:type="dxa"/>
                                                  <w:start w:w="1pt" w:type="dxa"/>
                                                  <w:bottom w:w="1pt" w:type="dxa"/>
                                                  <w:end w:w="1pt" w:type="dxa"/>
                                                </w:tcMar>
                                                <w:vAlign w:val="top"/>
                                                <w:hideMark/>
                                              </w:tcPr>
                                              <w:tbl>
                                                <w:tblPr>
                                                  <w:tblStyle w:val="tablehui-grid"/>
                                                  <w:tblpPr w:leftFromText="0" w:rightFromText="0" w:topFromText="0" w:bottomFromText="0" w:vertAnchor="text" w:tblpY="1"/>
                                                  <w:tblOverlap w:val="never"/>
                                                  <w:tblW w:w="100%" w:type="pct"/>
                                                  <w:tblCellMar>
                                                    <w:top w:w="0.75pt" w:type="dxa"/>
                                                    <w:start w:w="0.75pt" w:type="dxa"/>
                                                    <w:bottom w:w="0.75pt" w:type="dxa"/>
                                                    <w:end w:w="0.75pt" w:type="dxa"/>
                                                  </w:tblCellMar>
                                                  <w:tblLook w:firstColumn="1" w:firstRow="1" w:lastColumn="1" w:lastRow="1" w:noVBand="1"/>
                                                </w:tblPr>
                                                <w:tblGrid>
                                                  <w:gridCol w:w="1936"/>
                                                  <w:gridCol w:w="1895"/>
                                                  <w:gridCol w:w="961"/>
                                                  <w:gridCol w:w="881"/>
                                                  <w:gridCol w:w="969"/>
                                                  <w:gridCol w:w="782"/>
                                                  <w:gridCol w:w="795"/>
                                                  <w:gridCol w:w="805"/>
                                                  <w:gridCol w:w="809"/>
                                                  <w:gridCol w:w="987"/>
                                                  <w:gridCol w:w="1170"/>
                                                  <w:gridCol w:w="1317"/>
                                                  <w:gridCol w:w="1332"/>
                                                </w:tblGrid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rPr>
                                                    <w:tblHeader/>
                                                  </w:trPr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Description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Capital Structure Type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Amount Out (Mex$000)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Coupon or Base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Floating Rate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Maturity Date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Seniority Level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Secured?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Securing Collateral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Convertible?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Exchangeable?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Contains Warrants?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shd w:val="clear" w:color="auto" w:fill="F2F2F2"/>
                                                      <w:noWrap w:val="0"/>
                                                      <w:tcMar>
                                                        <w:top w:w="1.75pt" w:type="dxa"/>
                                                        <w:start w:w="1.75pt" w:type="dxa"/>
                                                        <w:bottom w:w="1.75pt" w:type="dxa"/>
                                                        <w:end w:w="1.75pt" w:type="dxa"/>
                                                      </w:tcMar>
                                                      <w:vAlign w:val="bottom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/>
                                                          <w:bCs/>
                                                          <w:i w:val="0"/>
                                                          <w:iCs w:val="0"/>
                                                          <w:caps/>
                                                          <w:smallCaps w:val="0"/>
                                                          <w:color w:val="000000"/>
                                                          <w:sz w:val="15"/>
                                                          <w:szCs w:val="17"/>
                                                        </w:rPr>
                                                        <w:t>Repayment Currency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Bank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1,178,000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EURIBOR + 100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Jul-17-2014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EUR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Bimbo 02-2 Bond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750,000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10.1500%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May-03-2012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Direct Borrowings for Working Capital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1,249,000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2011 - 2013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International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11,183,000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4.8800%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Jun-30-2020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10.6000%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Jun-06-2016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Local Bonds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3,313,000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6.8300%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Aug-10-2018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+ 90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Nov-28-2014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 Lines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1,258,000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+ 125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Dec-27-2016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Line of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Revolving Credit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2,100,000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TIIE + 250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Apr-27-2012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Security Investments in Stock-Exchange with Issue Bimbo 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 Debt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5,000,000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6.3200%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New Benchmark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Jun-15-2014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MXN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Credit 2009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Jan 2012 - Jan 2014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Yes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Tangible Asset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9F9F9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  <w:tr>
                                                  <w:tblPrEx>
                                                    <w:tblW w:w="100%" w:type="pct"/>
                                                    <w:tblCellMar>
                                                      <w:top w:w="0.75pt" w:type="dxa"/>
                                                      <w:start w:w="0.75pt" w:type="dxa"/>
                                                      <w:bottom w:w="0.75pt" w:type="dxa"/>
                                                      <w:end w:w="0.75pt" w:type="dxa"/>
                                                    </w:tblCellMar>
                                                    <w:tblLook w:firstColumn="1" w:firstRow="1" w:lastColumn="1" w:lastRow="1" w:noVBand="1"/>
                                                  </w:tblPrEx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star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Syndicated Bank Loan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5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Term Loans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18,172,000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LIBOR + 110 bp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pStyle w:val="hui-align-right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Apr-20-2016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Senior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NA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5.6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No</w:t>
                                                      </w:r>
                                                    </w:p>
                                                  </w:tc>
                                                  <w:tc>
                                                    <w:tcPr>
                                                      <w:tcW w:w="10%" w:type="pct"/>
                                                      <w:tcBorders>
                                                        <w:top w:val="single" w:sz="6" w:space="0" w:color="E3E3E3"/>
                                                      </w:tcBorders>
                                                      <w:shd w:val="clear" w:color="auto" w:fill="FFFFFF"/>
                                                      <w:noWrap/>
                                                      <w:tcMar>
                                                        <w:top w:w="4.1pt" w:type="dxa"/>
                                                        <w:start w:w="4pt" w:type="dxa"/>
                                                        <w:bottom w:w="4pt" w:type="dxa"/>
                                                        <w:end w:w="4pt" w:type="dxa"/>
                                                      </w:tcMar>
                                                      <w:vAlign w:val="top"/>
                                                      <w:hideMark/>
                                                    </w:tcPr>
                                                    <w:p>
                                                      <w:pPr>
                                                        <w:jc w:val="end"/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</w:pPr>
                                                      <w:r>
                                                        <w:rPr>
                                                          <w:b w:val="0"/>
                                                          <w:bCs w:val="0"/>
                                                          <w:i w:val="0"/>
                                                          <w:iCs w:val="0"/>
                                                          <w:smallCaps w:val="0"/>
                                                          <w:color w:val="000000"/>
                                                          <w:sz w:val="16"/>
                                                        </w:rPr>
                                                        <w:t>USD</w:t>
                                                      </w:r>
                                                    </w:p>
                                                  </w:tc>
                                                </w:tr>
                                              </w:tbl>
                                              <w:p>
                                                <w:pPr>
                                                  <w:rPr>
                                                    <w:b w:val="0"/>
                                                    <w:bCs w:val="0"/>
                                                    <w:i w:val="0"/>
                                                    <w:iCs w:val="0"/>
                                                    <w:smallCaps w:val="0"/>
                                                    <w:color w:val="000000"/>
                                                    <w:sz w:val="16"/>
                                                  </w:rPr>
                                                </w:pPr>
                                              </w:p>
                                            </w:tc>
                                          </w:tr>
                                        </w:tbl>
                                        <w:p>
                                          <w:pPr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  <w:tr>
                          <w:tblPrEx>
                            <w:tblW w:w="100%" w:type="pct"/>
                            <w:tblCellMar>
                              <w:top w:w="0.75pt" w:type="dxa"/>
                              <w:start w:w="0.75pt" w:type="dxa"/>
                              <w:bottom w:w="0.75pt" w:type="dxa"/>
                              <w:end w:w="0.75pt" w:type="dxa"/>
                            </w:tblCellMar>
                            <w:tblLook w:firstColumn="1" w:firstRow="1" w:lastColumn="1" w:lastRow="1" w:noVBand="1"/>
                          </w:tblPrEx>
                          <w:tc>
                            <w:tcPr>
                              <w:tcW w:w="100%" w:type="pct"/>
                              <w:noWrap/>
                              <w:tcMar>
                                <w:top w:w="1pt" w:type="dxa"/>
                                <w:start w:w="1pt" w:type="dxa"/>
                                <w:bottom w:w="1pt" w:type="dxa"/>
                                <w:end w:w="1pt" w:type="dxa"/>
                              </w:tcMar>
                              <w:vAlign w:val="top"/>
                              <w:hideMark/>
                            </w:tcPr>
                            <w:tbl>
                              <w:tblPr>
                                <w:tblStyle w:val="table"/>
                                <w:tblpPr w:leftFromText="0" w:rightFromText="0" w:topFromText="0" w:bottomFromText="0" w:vertAnchor="text" w:tblpY="1"/>
                                <w:tblOverlap w:val="never"/>
                                <w:tblW w:w="100%" w:type="pct"/>
                                <w:tblCellMar>
                                  <w:top w:w="0.75pt" w:type="dxa"/>
                                  <w:start w:w="0.75pt" w:type="dxa"/>
                                  <w:bottom w:w="0.75pt" w:type="dxa"/>
                                  <w:end w:w="0.75pt" w:type="dxa"/>
                                </w:tblCellMar>
                                <w:tblLook w:firstColumn="1" w:firstRow="1" w:lastColumn="1" w:lastRow="1" w:noVBand="1"/>
                              </w:tblPr>
                              <w:tblGrid>
                                <w:gridCol w:w="14640"/>
                              </w:tblGrid>
                              <w:tr>
                                <w:tblPrEx>
                                  <w:tblW w:w="100%" w:type="pct"/>
                                  <w:tblCellMar>
                                    <w:top w:w="0.75pt" w:type="dxa"/>
                                    <w:start w:w="0.75pt" w:type="dxa"/>
                                    <w:bottom w:w="0.75pt" w:type="dxa"/>
                                    <w:end w:w="0.75pt" w:type="dxa"/>
                                  </w:tblCellMar>
                                  <w:tblLook w:firstColumn="1" w:firstRow="1" w:lastColumn="1" w:lastRow="1" w:noVBand="1"/>
                                </w:tblPrEx>
                                <w:tc>
                                  <w:tcPr>
                                    <w:tcW w:w="100%" w:type="pct"/>
                                    <w:noWrap/>
                                    <w:tcMar>
                                      <w:top w:w="1pt" w:type="dxa"/>
                                      <w:start w:w="1pt" w:type="dxa"/>
                                      <w:bottom w:w="1pt" w:type="dxa"/>
                                      <w:end w:w="1pt" w:type="dxa"/>
                                    </w:tcMar>
                                    <w:vAlign w:val="top"/>
                                    <w:hideMark/>
                                  </w:tcPr>
                                  <w:tbl>
                                    <w:tblPr>
                                      <w:tblStyle w:val="hui-box"/>
                                      <w:tblpPr w:leftFromText="0" w:rightFromText="0" w:topFromText="0" w:bottomFromText="0" w:vertAnchor="text" w:tblpY="1"/>
                                      <w:tblOverlap w:val="never"/>
                                      <w:tblW w:w="100%" w:type="pct"/>
                                      <w:tblCellMar>
                                        <w:top w:w="15pt" w:type="dxa"/>
                                        <w:start w:w="0.75pt" w:type="dxa"/>
                                        <w:bottom w:w="0.75pt" w:type="dxa"/>
                                        <w:end w:w="0.75pt" w:type="dxa"/>
                                      </w:tblCellMar>
                                      <w:tblLook w:firstColumn="1" w:firstRow="1" w:lastColumn="1" w:lastRow="1" w:noVBand="1"/>
                                    </w:tblPr>
                                    <w:tblGrid>
                                      <w:gridCol w:w="14640"/>
                                    </w:tblGrid>
                                    <w:tr>
                                      <w:tblPrEx>
                                        <w:tblW w:w="100%" w:type="pct"/>
                                        <w:tblCellMar>
                                          <w:top w:w="15pt" w:type="dxa"/>
                                          <w:start w:w="0.75pt" w:type="dxa"/>
                                          <w:bottom w:w="0.75pt" w:type="dxa"/>
                                          <w:end w:w="0.75pt" w:type="dxa"/>
                                        </w:tblCellMar>
                                        <w:tblLook w:firstColumn="1" w:firstRow="1" w:lastColumn="1" w:lastRow="1" w:noVBand="1"/>
                                      </w:tblPrEx>
                                      <w:tc>
                                        <w:tcPr>
                                          <w:tcW w:w="100%" w:type="pct"/>
                                          <w:noWrap w:val="0"/>
                                          <w:tcMar>
                                            <w:top w:w="0.25pt" w:type="dxa"/>
                                            <w:start w:w="0.25pt" w:type="dxa"/>
                                            <w:bottom w:w="0.25pt" w:type="dxa"/>
                                            <w:end w:w="0.25pt" w:type="dxa"/>
                                          </w:tcMar>
                                          <w:vAlign w:val="top"/>
                                          <w:hideMark/>
                                        </w:tcPr>
                                        <w:p>
                                          <w:pPr>
                                            <w:jc w:val="start"/>
                                            <w:rPr>
                                              <w:b w:val="0"/>
                                              <w:bCs w:val="0"/>
                                              <w:i w:val="0"/>
                                              <w:iCs w:val="0"/>
                                              <w:smallCaps w:val="0"/>
                                              <w:color w:val="000000"/>
                                              <w:sz w:val="16"/>
                                            </w:rPr>
                                          </w:pPr>
                                        </w:p>
                                      </w:tc>
                                    </w:tr>
                                  </w:tbl>
                                  <w:p>
                                    <w:pPr>
                                      <w:rPr>
                                        <w:b w:val="0"/>
                                        <w:bCs w:val="0"/>
                                        <w:i w:val="0"/>
                                        <w:iCs w:val="0"/>
                                        <w:smallCaps w:val="0"/>
                                        <w:color w:val="000000"/>
                                        <w:sz w:val="16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>
                              <w:pPr>
                                <w:rPr>
                                  <w:b w:val="0"/>
                                  <w:bCs w:val="0"/>
                                  <w:i w:val="0"/>
                                  <w:iCs w:val="0"/>
                                  <w:smallCaps w:val="0"/>
                                  <w:color w:val="000000"/>
                                  <w:sz w:val="16"/>
                                </w:rPr>
                              </w:pPr>
                            </w:p>
                          </w:tc>
                        </w:tr>
                      </w:tbl>
                      <w:p>
                        <w:pPr>
                          <w:rPr>
                            <w:b w:val="0"/>
                            <w:bCs w:val="0"/>
                            <w:i w:val="0"/>
                            <w:iCs w:val="0"/>
                            <w:smallCaps w:val="0"/>
                            <w:color w:val="000000"/>
                            <w:sz w:val="16"/>
                          </w:rPr>
                        </w:pPr>
                      </w:p>
                    </w:tc>
                  </w:tr>
                </w:tbl>
                <w:p>
                  <w:pPr>
                    <w:rPr>
                      <w:b w:val="0"/>
                      <w:bCs w:val="0"/>
                      <w:i w:val="0"/>
                      <w:iCs w:val="0"/>
                      <w:smallCaps w:val="0"/>
                      <w:color w:val="000000"/>
                      <w:sz w:val="16"/>
                    </w:rPr>
                  </w:pPr>
                </w:p>
              </w:tc>
            </w:tr>
          </w:tbl>
          <w:p>
            <w:pPr>
              <w:rPr>
                <w:b w:val="0"/>
                <w:bCs w:val="0"/>
                <w:i w:val="0"/>
                <w:iCs w:val="0"/>
                <w:smallCaps w:val="0"/>
                <w:color w:val="000000"/>
                <w:sz w:val="16"/>
              </w:rPr>
            </w:pPr>
          </w:p>
        </w:tc>
      </w:tr>
    </w:tbl>
    <w:p>
      <w:pPr>
        <w:pStyle w:val="div"/>
        <w:spacing w:after="0"/>
        <w:ind w:start="150" w:end="150"/>
        <w:rPr>
          <w:color w:val="3F3F3F"/>
          <w:sz w:val="16"/>
        </w:rPr>
      </w:pPr>
    </w:p>
    <w:sectPr>
      <w:headerReference w:type="default" r:id="rId4"/>
      <w:footerReference w:type="default" r:id="rId5"/>
      <w:headerReference w:type="first" r:id="rId6"/>
      <w:footerReference w:type="first" r:id="rId7"/>
      <w:pgSz w:w="15840" w:h="12240" w:orient="landscape"/>
      <w:pgMar w:top="600" w:right="600" w:bottom="600" w:left="600" w:header="288" w:footer="288"/>
      <w:cols w:space="720"/>
      <w:titlePg/>
    </w:sectPr>
  </w:body>
</w:document>
</file>

<file path=word/fontTable.xml><?xml version="1.0" encoding="utf-8"?>
<w:font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5" name="Line 100005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296400" cy="0"/>
          <wp:effectExtent l="0" t="0" r="0" b="0"/>
          <wp:wrapNone/>
          <wp:docPr id="100006" name="Line 100006"/>
          <wp:cNvGraphicFramePr/>
          <a:graphic xmlns:a="http://purl.oclc.org/ooxml/drawingml/main">
            <a:graphicData uri="http://schemas.microsoft.com/office/word/2010/wordprocessingShape">
              <wp:wsp>
                <wp:cNvCnPr>
                  <a:cxnSpLocks noChangeShapeType="1"/>
                </wp:cNvCnPr>
                <wp:spPr bwMode="auto">
                  <a:xfrm>
                    <a:off x="0" y="0"/>
                    <a:ext cx="9296400" cy="0"/>
                  </a:xfrm>
                  <a:prstGeom prst="line">
                    <a:avLst/>
                  </a:prstGeom>
                  <a:noFill/>
                  <a:ln w="12700">
                    <a:solidFill>
                      <a:srgbClr val="000000"/>
                    </a:solidFill>
                    <a:round/>
                    <a:headEnd/>
                    <a:tailEnd/>
                  </a:ln>
                </wp:spPr>
                <wp:bodyPr/>
              </wp:wsp>
            </a:graphicData>
          </a:graphic>
        </wp:anchor>
      </w:drawing>
    </w:r>
  </w:p>
  <w:tbl>
    <w:tblPr>
      <w:tblW w:w="100%" w:type="pct"/>
      <w:tblCellMar>
        <w:start w:w="5.4pt" w:type="dxa"/>
        <w:end w:w="5.4pt" w:type="dxa"/>
      </w:tblCellMar>
    </w:tblPr>
    <w:tblGrid>
      <w:gridCol w:w="6635"/>
      <w:gridCol w:w="8005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>Licensed to a01541838@tec.mx</w:t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end"/>
            <w:rPr>
              <w:b/>
              <w:color w:val="000000"/>
              <w:sz w:val="16"/>
            </w:rPr>
          </w:pPr>
          <w:r>
            <w:rPr>
              <w:b/>
              <w:color w:val="000000"/>
              <w:sz w:val="16"/>
            </w:rPr>
            <w:t xml:space="preserve">©2026, Powered by S&amp;P Global | Page </w:t>
          </w:r>
          <w:r>
            <w:rPr>
              <w:b/>
              <w:color w:val="000000"/>
              <w:sz w:val="16"/>
            </w:rPr>
            <w:fldChar w:fldCharType="begin"/>
          </w:r>
          <w:r>
            <w:rPr>
              <w:b/>
              <w:color w:val="000000"/>
              <w:sz w:val="16"/>
            </w:rPr>
            <w:instrText>PAGE</w:instrText>
          </w:r>
          <w:r>
            <w:rPr>
              <w:b/>
              <w:color w:val="000000"/>
              <w:sz w:val="16"/>
            </w:rPr>
            <w:fldChar w:fldCharType="separate"/>
          </w:r>
          <w:r>
            <w:rPr>
              <w:b/>
              <w:color w:val="000000"/>
              <w:sz w:val="16"/>
            </w:rPr>
            <w:fldChar w:fldCharType="end"/>
          </w:r>
        </w:p>
      </w:tc>
    </w:tr>
  </w:tbl>
  <w:p>
    <w:pPr>
      <w:keepLines w:val="0"/>
      <w:spacing w:before="0" w:beforeAutospacing="0" w:after="0" w:afterAutospacing="0" w:line="0" w:lineRule="atLeast"/>
      <w:jc w:val="center"/>
      <w:rPr>
        <w:b/>
        <w:color w:val="000000"/>
        <w:sz w:val="16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3951"/>
      <w:gridCol w:w="689"/>
    </w:tblGrid>
    <w:tr>
      <w:tblPrEx>
        <w:tblW w:w="100%" w:type="pct"/>
        <w:tblCellMar>
          <w:start w:w="5.4pt" w:type="dxa"/>
          <w:end w:w="5.4pt" w:type="dxa"/>
        </w:tblCellMar>
      </w:tblPrEx>
      <w:tc>
        <w:tcPr/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  <w:drawing>
              <wp:inline>
                <wp:extent cx="1724266" cy="476316"/>
                <wp:docPr id="100001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962961860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7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16"/>
              <w:szCs w:val="17"/>
            </w:rPr>
          </w:pPr>
          <w: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2" name="Line 100002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p14="http://schemas.microsoft.com/office/word/2010/wordprocessingDrawing" xmlns:wp="http://purl.oclc.org/ooxml/drawingml/wordprocessingDrawing" xmlns:w10="urn:schemas-microsoft-com:office:word" xmlns:w="http://purl.oclc.org/ooxml/wordprocessingml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0%" w:type="pct"/>
      <w:tblCellMar>
        <w:start w:w="5.4pt" w:type="dxa"/>
        <w:end w:w="5.4pt" w:type="dxa"/>
      </w:tblCellMar>
    </w:tblPr>
    <w:tblGrid>
      <w:gridCol w:w="14079"/>
      <w:gridCol w:w="561"/>
    </w:tblGrid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/>
            <w:jc w:val="start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  <w:r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  <w:drawing>
              <wp:inline>
                <wp:extent cx="1724266" cy="476316"/>
                <wp:docPr id="100003" name=""/>
                <wp:cNvGraphicFramePr>
                  <a:graphicFrameLocks xmlns:a="http://purl.oclc.org/ooxml/drawingml/main" noChangeAspect="1"/>
                </wp:cNvGraphicFramePr>
                <a:graphic xmlns:a="http://purl.oclc.org/ooxml/drawingml/main">
                  <a:graphicData uri="http://purl.oclc.org/ooxml/drawingml/picture">
                    <pic:pic xmlns:pic="http://purl.oclc.org/ooxml/drawingml/picture">
                      <pic:nvPicPr>
                        <pic:cNvPr id="575552389" name=""/>
                        <pic:cNvPicPr>
                          <a:picLocks noChangeAspect="1"/>
                        </pic:cNvPicPr>
                      </pic:nvPicPr>
                      <pic:blipFill>
                        <a:blip xmlns:r="http://purl.oclc.org/ooxml/officeDocument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66" cy="4763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vAlign w:val="center"/>
        </w:tcPr>
        <w:p>
          <w:pPr>
            <w:keepLines w:val="0"/>
            <w:spacing w:before="0" w:beforeAutospacing="0" w:after="0" w:afterAutospacing="0"/>
            <w:jc w:val="end"/>
            <w:rPr>
              <w:b w:val="0"/>
              <w:bCs w:val="0"/>
              <w:i w:val="0"/>
              <w:iCs w:val="0"/>
              <w:smallCaps w:val="0"/>
              <w:color w:val="000000"/>
              <w:sz w:val="15"/>
              <w:szCs w:val="17"/>
            </w:rPr>
          </w:pPr>
        </w:p>
      </w:tc>
    </w:tr>
    <w:tr>
      <w:tblPrEx>
        <w:tblW w:w="100%" w:type="pct"/>
        <w:tblCellMar>
          <w:start w:w="5.4pt" w:type="dxa"/>
          <w:end w:w="5.4pt" w:type="dxa"/>
        </w:tblCellMar>
      </w:tblPrEx>
      <w:tc>
        <w:tcPr>
          <w:vAlign w:val="center"/>
        </w:tcPr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  <w:t>Grupo Bimbo, S.A.B. de C.V. | Capital Structure Details</w:t>
          </w:r>
        </w:p>
        <w:p>
          <w:pPr>
            <w:keepLines w:val="0"/>
            <w:spacing w:before="0" w:beforeAutospacing="0" w:after="0" w:afterAutospacing="0" w:line="0" w:lineRule="atLeast"/>
            <w:jc w:val="start"/>
            <w:rPr>
              <w:b/>
              <w:bCs w:val="0"/>
              <w:i w:val="0"/>
              <w:iCs w:val="0"/>
              <w:smallCaps w:val="0"/>
              <w:color w:val="000000"/>
              <w:sz w:val="20"/>
              <w:szCs w:val="17"/>
            </w:rPr>
          </w:pPr>
          <w:r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9296400" cy="0"/>
                <wp:effectExtent l="0" t="0" r="0" b="0"/>
                <wp:wrapNone/>
                <wp:docPr id="100004" name="Line 100004"/>
                <wp:cNvGraphicFramePr/>
                <a:graphic xmlns:a="http://purl.oclc.org/ooxml/drawingml/main">
                  <a:graphicData uri="http://schemas.microsoft.com/office/word/2010/wordprocessingShape">
                    <wp:wsp>
                      <wp:cNvCnPr>
                        <a:cxnSpLocks noChangeShapeType="1"/>
                      </wp:cNvCnPr>
                      <wp:spPr bwMode="auto">
                        <a:xfrm>
                          <a:off x="0" y="0"/>
                          <a:ext cx="92964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:spPr>
                      <wp:bodyPr/>
                    </wp:wsp>
                  </a:graphicData>
                </a:graphic>
              </wp:anchor>
            </w:drawing>
          </w:r>
        </w:p>
      </w:tc>
    </w:tr>
  </w:tbl>
</w:hdr>
</file>

<file path=word/settings.xml><?xml version="1.0" encoding="utf-8"?>
<w:settings xmlns:mc="http://schemas.openxmlformats.org/markup-compatibility/2006" xmlns:o="urn:schemas-microsoft-com:office:office" xmlns:r="http://purl.oclc.org/ooxml/officeDocument/relationships" xmlns:m="http://purl.oclc.org/ooxml/officeDocument/math" xmlns:v="urn:schemas-microsoft-com:vml" xmlns:w10="urn:schemas-microsoft-com:office:word" xmlns:w="http://purl.oclc.org/ooxml/wordprocessingml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%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>
  <w:docDefaults>
    <w:rPrDefault>
      <w:rPr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rFonts w:ascii="Arial" w:eastAsia="Arial" w:hAnsi="Arial" w:cs="Arial"/>
      <w:sz w:val="18"/>
      <w:szCs w:val="18"/>
    </w:rPr>
  </w:style>
  <w:style w:type="paragraph" w:styleId="Heading1">
    <w:name w:val="heading 1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qFormat/>
    <w:tblPr>
      <w:tblInd w:w="0pt" w:type="dxa"/>
      <w:tblCellMar>
        <w:top w:w="0pt" w:type="dxa"/>
        <w:start w:w="5.4pt" w:type="dxa"/>
        <w:bottom w:w="0pt" w:type="dxa"/>
        <w:end w:w="5.4pt" w:type="dxa"/>
      </w:tblCellMar>
    </w:tblPr>
  </w:style>
  <w:style w:type="paragraph" w:customStyle="1" w:styleId="container-12">
    <w:name w:val="container-12"/>
    <w:basedOn w:val="Normal"/>
  </w:style>
  <w:style w:type="table" w:customStyle="1" w:styleId="table">
    <w:name w:val="table"/>
    <w:basedOn w:val="TableNormal"/>
    <w:tblPr/>
  </w:style>
  <w:style w:type="table" w:customStyle="1" w:styleId="col-md-12">
    <w:name w:val="col-md-12"/>
    <w:basedOn w:val="TableNormal"/>
    <w:tblPr/>
  </w:style>
  <w:style w:type="paragraph" w:customStyle="1" w:styleId="hui-align-right">
    <w:name w:val="hui-align-right"/>
    <w:basedOn w:val="Normal"/>
    <w:pPr>
      <w:jc w:val="end"/>
    </w:pPr>
  </w:style>
  <w:style w:type="table" w:customStyle="1" w:styleId="tablehui-grid">
    <w:name w:val="table_hui-grid"/>
    <w:basedOn w:val="TableNormal"/>
    <w:tblPr/>
  </w:style>
  <w:style w:type="table" w:customStyle="1" w:styleId="hui-box">
    <w:name w:val="hui-box"/>
    <w:basedOn w:val="TableNormal"/>
    <w:tblPr/>
  </w:style>
  <w:style w:type="paragraph" w:customStyle="1" w:styleId="div">
    <w:name w:val="div"/>
    <w:basedOn w:val="Normal"/>
    <w:rPr>
      <w:rFonts w:ascii="Arial" w:eastAsia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purl.oclc.org/ooxml/officeDocument/relationships" xmlns:w="http://purl.oclc.org/ooxml/wordprocessingml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purl.oclc.org/ooxml/officeDocument/relationships/settings" Target="settings.xml" /><Relationship Id="rId2" Type="http://purl.oclc.org/ooxml/officeDocument/relationships/webSettings" Target="webSettings.xml" /><Relationship Id="rId3" Type="http://purl.oclc.org/ooxml/officeDocument/relationships/fontTable" Target="fontTable.xml" /><Relationship Id="rId4" Type="http://purl.oclc.org/ooxml/officeDocument/relationships/header" Target="header1.xml" /><Relationship Id="rId5" Type="http://purl.oclc.org/ooxml/officeDocument/relationships/footer" Target="footer1.xml" /><Relationship Id="rId6" Type="http://purl.oclc.org/ooxml/officeDocument/relationships/header" Target="header2.xml" /><Relationship Id="rId7" Type="http://purl.oclc.org/ooxml/officeDocument/relationships/footer" Target="footer2.xml" /><Relationship Id="rId8" Type="http://purl.oclc.org/ooxml/officeDocument/relationships/styles" Target="styles.xml" /></Relationships>
</file>

<file path=word/_rels/header1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word/_rels/header2.xml.rels>&#65279;<?xml version="1.0" encoding="utf-8" standalone="yes"?><Relationships xmlns="http://schemas.openxmlformats.org/package/2006/relationships"><Relationship Id="rId1" Type="http://purl.oclc.org/ooxml/officeDocument/relationships/image" Target="media/image1.png" /></Relationships>
</file>

<file path=docProps/app.xml><?xml version="1.0" encoding="utf-8"?>
<Properties xmlns="http://purl.oclc.org/ooxml/officeDocument/extendedProperties" xmlns:vt="http://purl.oclc.org/ooxml/officeDocument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