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2021FQ1 filed Apr 29, 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2021(Mar-31-2021)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16,438,677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16,483,760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12,257,736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13,393,055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10,302,350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Liability : Capitalized Operations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25,865,000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Liability : Financial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3,224,000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2,373,930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45927215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9752061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