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1921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921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pStyle w:val="div"/>
                    <w:spacing w:after="150"/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282"/>
              <w:gridCol w:w="10639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Subsidiaries: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Exclude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Issuer: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Grupo Bimbo, S.A.B. de C.V.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Security Type: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All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Seniority: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All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Date Criteria: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Issue Date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Date Range: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 xml:space="preserve">From: To: 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Issue Currency: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All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Attributes: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Dividend/Coupon (%):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Identifier: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CUSIP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3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Status:</w:t>
                  </w:r>
                </w:p>
              </w:tc>
              <w:tc>
                <w:tcPr>
                  <w:tcW w:w="9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  <w:t>Active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4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6"/>
                    </w:rPr>
                    <w:t>Equity Capital Structure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084"/>
              <w:gridCol w:w="1155"/>
              <w:gridCol w:w="1963"/>
              <w:gridCol w:w="1084"/>
              <w:gridCol w:w="887"/>
              <w:gridCol w:w="808"/>
              <w:gridCol w:w="862"/>
              <w:gridCol w:w="862"/>
              <w:gridCol w:w="1120"/>
              <w:gridCol w:w="1342"/>
              <w:gridCol w:w="755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Description</w:t>
                  </w:r>
                </w:p>
              </w:tc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CUSIP</w:t>
                  </w:r>
                </w:p>
              </w:tc>
              <w:tc>
                <w:tcPr>
                  <w:tcW w:w="13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Issuer Name</w:t>
                  </w:r>
                </w:p>
              </w:tc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Security Type</w:t>
                  </w:r>
                </w:p>
              </w:tc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Currency</w:t>
                  </w:r>
                </w:p>
              </w:tc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Price (Mex$)</w:t>
                  </w:r>
                </w:p>
              </w:tc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Dividend or Coupon Rate (%)</w:t>
                  </w:r>
                </w:p>
              </w:tc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Dividend Yield (%)</w:t>
                  </w:r>
                </w:p>
              </w:tc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Market Value (Mex$M)</w:t>
                  </w:r>
                </w:p>
              </w:tc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Shares Outstanding (actual)</w:t>
                  </w:r>
                </w:p>
              </w:tc>
              <w:tc>
                <w:tcPr>
                  <w:tcW w:w="5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Status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Series A Shares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P4949B104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Common Equity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MXN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55.41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1.94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238,057.11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4,296,284,215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American Depositary Receipts Series A Shares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40052V104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Depositary Receipt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USD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215.26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2.09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shd w:val="clear" w:color="auto" w:fill="525252"/>
                  <w:noWrap w:val="0"/>
                  <w:tcMar>
                    <w:top w:w="4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div"/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FFFFFF"/>
                      <w:sz w:val="16"/>
                    </w:rPr>
                    <w:t>Debt Capital Structure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hui-grid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023"/>
              <w:gridCol w:w="961"/>
              <w:gridCol w:w="1085"/>
              <w:gridCol w:w="737"/>
              <w:gridCol w:w="880"/>
              <w:gridCol w:w="649"/>
              <w:gridCol w:w="827"/>
              <w:gridCol w:w="961"/>
              <w:gridCol w:w="729"/>
              <w:gridCol w:w="961"/>
              <w:gridCol w:w="880"/>
              <w:gridCol w:w="934"/>
              <w:gridCol w:w="596"/>
              <w:gridCol w:w="699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tcW w:w="8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Description</w:t>
                  </w:r>
                </w:p>
              </w:tc>
              <w:tc>
                <w:tcPr>
                  <w:tcW w:w="3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Maturity Date</w:t>
                  </w:r>
                </w:p>
              </w:tc>
              <w:tc>
                <w:tcPr>
                  <w:tcW w:w="3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CUSIP</w:t>
                  </w:r>
                </w:p>
              </w:tc>
              <w:tc>
                <w:tcPr>
                  <w:tcW w:w="13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Issuer Name</w:t>
                  </w:r>
                </w:p>
              </w:tc>
              <w:tc>
                <w:tcPr>
                  <w:tcW w:w="5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Security Type</w:t>
                  </w:r>
                </w:p>
              </w:tc>
              <w:tc>
                <w:tcPr>
                  <w:tcW w:w="3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Price (%)</w:t>
                  </w:r>
                </w:p>
              </w:tc>
              <w:tc>
                <w:tcPr>
                  <w:tcW w:w="3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Coupon Rate (%)</w:t>
                  </w:r>
                </w:p>
              </w:tc>
              <w:tc>
                <w:tcPr>
                  <w:tcW w:w="3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end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Amount Outstanding (Mex$000)*</w:t>
                  </w:r>
                </w:p>
              </w:tc>
              <w:tc>
                <w:tcPr>
                  <w:tcW w:w="3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Currency</w:t>
                  </w:r>
                </w:p>
              </w:tc>
              <w:tc>
                <w:tcPr>
                  <w:tcW w:w="3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Issue Date</w:t>
                  </w:r>
                </w:p>
              </w:tc>
              <w:tc>
                <w:tcPr>
                  <w:tcW w:w="4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Debt Type Detail</w:t>
                  </w:r>
                </w:p>
              </w:tc>
              <w:tc>
                <w:tcPr>
                  <w:tcW w:w="4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Seniority </w:t>
                  </w:r>
                </w:p>
              </w:tc>
              <w:tc>
                <w:tcPr>
                  <w:tcW w:w="2%" w:type="pct"/>
                  <w:vMerge w:val="restar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Status</w:t>
                  </w:r>
                </w:p>
              </w:tc>
              <w:tc>
                <w:tcPr>
                  <w:tcW w:w="7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center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Current Issue Ratings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rPr>
                <w:tblHeader/>
              </w:trPr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vMerge/>
                  <w:vAlign w:val="center"/>
                  <w:hideMark/>
                </w:tcPr>
                <w:p>
                  <w:pP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  <w:tc>
                <w:tcPr>
                  <w:tcW w:w="7%" w:type="pct"/>
                  <w:shd w:val="clear" w:color="auto" w:fill="F2F2F2"/>
                  <w:noWrap w:val="0"/>
                  <w:tcMar>
                    <w:top w:w="1.75pt" w:type="dxa"/>
                    <w:start w:w="1.75pt" w:type="dxa"/>
                    <w:bottom w:w="1.75pt" w:type="dxa"/>
                    <w:end w:w="1.75pt" w:type="dxa"/>
                  </w:tcMar>
                  <w:vAlign w:val="bottom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caps/>
                      <w:smallCaps w:val="0"/>
                      <w:color w:val="000000"/>
                      <w:sz w:val="15"/>
                      <w:szCs w:val="17"/>
                    </w:rPr>
                    <w:t>S&amp;P Global Ratings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Banco Citi Mexico, SA Line of Credit 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4/4/2027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1,800,730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10/4/2023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8.18 09/24/2027 FIX MXN Corporate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9/24/2027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P4949BAM6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Bond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95.080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8.18000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10,000,000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MXN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10/6/2017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Bond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mxAAA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6.85 02/11/2028 FLT MXN Corporate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2/11/2028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P4949BAS3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Certificate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2,238,000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MXN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2/14/2025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Certificate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mxAAA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 Line Tranche B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3/15/2028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MXN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3/15/2023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Line of Credit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4/13/2028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5,000,000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MXN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4/13/2023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Cooperative Rabobank Line of Credit EUR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5/22/2028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3,030,152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EUR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5/22/2025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Caixabank, SA Line of Credit EUR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12/15/2028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1,518,431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EUR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12/16/2025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HSBC México Loan 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3/15/2029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Term Loan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1,684,210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3/13/2024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Term Loan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BNP Paribas Line of Credit 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9/26/2029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2,701,095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9/24/2024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6.95 02/01/2030 FLT MXN Corporate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2/1/2030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P4949BAV6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Certificate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4,133,375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MXN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2/6/2026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Certificate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 Line Tranche A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7/31/2030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Variable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MXN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7/1/2022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Revolving Credit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10.06 02/06/2032 FIX MXN Corporate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2/6/2032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P4949BAT1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Certificate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10.06000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12,762,000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MXN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2/14/2025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Certificate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mxAAA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9.24 05/20/2033 FIX MXN Corporate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5/20/2033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P4949BAQ7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Certificate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9.24000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12,000,000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MXN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6/2/2023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Certificate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mxAAA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9.22 01/26/2035 FIX MXN Corporate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1/26/2035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P4949BAU8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Bond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9.22000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7,866,625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MXN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2/6/2026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Bond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4.875 06/27/2044 FIX USD Corporate 144A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6/27/2044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40052VAD6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Note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82.347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4.87500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8,984,150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6/27/2014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Note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BBB+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4.875 06/27/2044 FIX USD Corporate RegS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6/27/2044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P4949BAK0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Note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82.347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4.87500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8,984,150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6/27/2014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Note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BBB+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4.7 11/10/2047 FIX USD Corporate 144A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11/10/2047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40052VAE4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Note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77.484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4.70000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11,679,395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11/10/2017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Note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BBB+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4.7 11/10/2047 FIX USD Corporate RegS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11/10/2047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P4R52QAC9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Note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77.484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4.70000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11,679,395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11/10/2017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Note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BBB+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4.0 09/06/2049 FIX USD Corporate 144A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9/6/2049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40052VAG9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Note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68.195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4.00000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10,780,980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9/6/2019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Note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9F9F9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BBB+</w:t>
                  </w: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8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GRBICV 4.0 09/06/2049 FIX USD Corporate RegS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pStyle w:val="hui-align-lef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9/6/2049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P4949BAP9</w:t>
                  </w:r>
                </w:p>
              </w:tc>
              <w:tc>
                <w:tcPr>
                  <w:tcW w:w="1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6"/>
                    </w:rPr>
                    <w:t>Grupo Bimbo, S.A.B. de C.V.</w:t>
                  </w:r>
                </w:p>
              </w:tc>
              <w:tc>
                <w:tcPr>
                  <w:tcW w:w="5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Corporate Note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68.195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4.00000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end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10,780,980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USD</w:t>
                  </w:r>
                </w:p>
              </w:tc>
              <w:tc>
                <w:tcPr>
                  <w:tcW w:w="3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9/6/2019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Note</w:t>
                  </w:r>
                </w:p>
              </w:tc>
              <w:tc>
                <w:tcPr>
                  <w:tcW w:w="4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Senior Unsecured</w:t>
                  </w:r>
                </w:p>
              </w:tc>
              <w:tc>
                <w:tcPr>
                  <w:tcW w:w="2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Active</w:t>
                  </w:r>
                </w:p>
              </w:tc>
              <w:tc>
                <w:tcPr>
                  <w:tcW w:w="7%" w:type="pct"/>
                  <w:tcBorders>
                    <w:top w:val="single" w:sz="6" w:space="0" w:color="E3E3E3"/>
                  </w:tcBorders>
                  <w:shd w:val="clear" w:color="auto" w:fill="FFFFFF"/>
                  <w:noWrap w:val="0"/>
                  <w:tcMar>
                    <w:top w:w="4.1pt" w:type="dxa"/>
                    <w:start w:w="4pt" w:type="dxa"/>
                    <w:bottom w:w="4pt" w:type="dxa"/>
                    <w:end w:w="4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  <w:t>BBB+</w:t>
                  </w: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921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Price (%) - Price field displays an Evaluated Price or New York/London Close Price (for Loans only).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921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*The amount outstanding field is not applicable or pulling updated value for IHS loan securities.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921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hui-export-table-parenttable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3182"/>
                          <w:gridCol w:w="520"/>
                        </w:tblGrid>
                        <w:tr>
                          <w:tblPrEx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noWrap w:val="0"/>
                              <w:tcMar>
                                <w:top w:w="1pt" w:type="dxa"/>
                                <w:start w:w="1.75pt" w:type="dxa"/>
                                <w:bottom w:w="1pt" w:type="dxa"/>
                                <w:end w:w="1pt" w:type="dxa"/>
                              </w:tcMar>
                              <w:vAlign w:val="center"/>
                              <w:hideMark/>
                            </w:tcPr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  <w:t xml:space="preserve">S&amp;P Credit Ratings and Research provided by </w:t>
                              </w:r>
                            </w:p>
                          </w:tc>
                          <w:tc>
                            <w:tcPr>
                              <w:noWrap w:val="0"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center"/>
                              <w:hideMark/>
                            </w:tcPr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5"/>
                                  <w:szCs w:val="17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strike w:val="0"/>
                                  <w:color w:val="000000"/>
                                  <w:sz w:val="17"/>
                                  <w:szCs w:val="17"/>
                                  <w:u w:val="none"/>
                                </w:rPr>
                                <w:drawing>
                                  <wp:inline>
                                    <wp:extent cx="304843" cy="304843"/>
                                    <wp:docPr id="100001" name="" descr="S&amp;P Rating Logo"/>
                                    <wp:cNvGraphicFramePr>
                                      <a:graphicFrameLocks xmlns:a="http://purl.oclc.org/ooxml/drawingml/main" noChangeAspect="1"/>
                                    </wp:cNvGraphicFramePr>
                                    <a:graphic xmlns:a="http://purl.oclc.org/ooxml/drawingml/main">
                                      <a:graphicData uri="http://purl.oclc.org/ooxml/drawingml/picture">
                                        <pic:pic xmlns:pic="http://purl.oclc.org/ooxml/drawingml/picture">
                                          <pic:nvPicPr>
                                            <pic:cNvPr id="288625595" name="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xmlns:r="http://purl.oclc.org/ooxml/officeDocument/relationships" r:embed="rId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4843" cy="30484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0.25pt" w:type="dxa"/>
                    <w:start w:w="0.25pt" w:type="dxa"/>
                    <w:bottom w:w="0.25pt" w:type="dxa"/>
                    <w:end w:w="0.25pt" w:type="dxa"/>
                  </w:tcMar>
                  <w:vAlign w:val="top"/>
                  <w:hideMark/>
                </w:tcPr>
                <w:p>
                  <w:pPr>
                    <w:jc w:val="start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vanish/>
                <w:sz w:val="16"/>
              </w:rPr>
            </w:pPr>
          </w:p>
          <w:tbl>
            <w:tblPr>
              <w:tblStyle w:val="hui-export-table-parent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1921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hui-export-table-parent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1921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 w:val="0"/>
                        <w:tcMar>
                          <w:top w:w="1pt" w:type="dxa"/>
                          <w:start w:w="1pt" w:type="dxa"/>
                          <w:bottom w:w="4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Securities finance and pricing data may not be used in conjunction with Investment Accounting Activities.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5"/>
                      <w:szCs w:val="17"/>
                    </w:rPr>
                  </w:pPr>
                </w:p>
              </w:tc>
            </w:tr>
          </w:tbl>
          <w:p>
            <w:pPr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5"/>
      <w:footerReference w:type="default" r:id="rId6"/>
      <w:headerReference w:type="first" r:id="rId7"/>
      <w:footerReference w:type="first" r:id="rId8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7" name="Line 100007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482"/>
      <w:gridCol w:w="558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2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6200771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Securities Summary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3" name="Line 100003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84"/>
      <w:gridCol w:w="456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4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6587275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Securities Summary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5" name="Line 100005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col-md-12">
    <w:name w:val="col-md-12"/>
    <w:basedOn w:val="Normal"/>
  </w:style>
  <w:style w:type="table" w:customStyle="1" w:styleId="col-md-12Table">
    <w:name w:val="col-md-12 Table"/>
    <w:basedOn w:val="TableNormal"/>
    <w:tblPr/>
  </w:style>
  <w:style w:type="paragraph" w:customStyle="1" w:styleId="hui-wrap">
    <w:name w:val="hui-wrap"/>
    <w:basedOn w:val="Normal"/>
  </w:style>
  <w:style w:type="paragraph" w:customStyle="1" w:styleId="hui-box">
    <w:name w:val="hui-box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table" w:customStyle="1" w:styleId="tablehui-grid">
    <w:name w:val="table_hui-grid"/>
    <w:basedOn w:val="TableNormal"/>
    <w:tblPr/>
  </w:style>
  <w:style w:type="paragraph" w:customStyle="1" w:styleId="hui-align-left">
    <w:name w:val="hui-align-left"/>
    <w:basedOn w:val="Normal"/>
    <w:pPr>
      <w:jc w:val="start"/>
    </w:pPr>
  </w:style>
  <w:style w:type="table" w:customStyle="1" w:styleId="hui-export-table-parenttable">
    <w:name w:val="hui-export-table-parent_table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image" Target="media/image1.png" /><Relationship Id="rId5" Type="http://purl.oclc.org/ooxml/officeDocument/relationships/header" Target="header1.xml" /><Relationship Id="rId6" Type="http://purl.oclc.org/ooxml/officeDocument/relationships/footer" Target="footer1.xml" /><Relationship Id="rId7" Type="http://purl.oclc.org/ooxml/officeDocument/relationships/header" Target="header2.xml" /><Relationship Id="rId8" Type="http://purl.oclc.org/ooxml/officeDocument/relationships/footer" Target="footer2.xml" /><Relationship Id="rId9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2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2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