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NET 19.1 -->
  <w:body>
    <w:tbl>
      <w:tblPr>
        <w:tblStyle w:val="table"/>
        <w:tblpPr w:leftFromText="150" w:rightFromText="15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15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rPr>
                            <w:cantSplit/>
                          </w:trPr>
                          <w:tc>
                            <w:tcPr>
                              <w:tcW w:w="100%" w:type="pct"/>
                              <w:noWrap/>
                              <w:tcMar>
                                <w:top w:w="1pt" w:type="dxa"/>
                                <w:start w:w="1pt" w:type="dxa"/>
                                <w:bottom w:w="1pt" w:type="dxa"/>
                                <w:end w:w="1pt" w:type="dxa"/>
                              </w:tcMar>
                              <w:vAlign w:val="top"/>
                              <w:hideMark/>
                            </w:tcPr>
                            <w:p>
                              <w:pPr>
                                <w:keepLines w:val="0"/>
                                <w:spacing w:before="0" w:beforeAutospacing="0" w:after="0" w:afterAutospacing="0"/>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695"/>
                    <w:gridCol w:w="10345"/>
                  </w:tblGrid>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Issuer</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All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Seniority</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All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Security Type</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All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Identifier</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CUSIP</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Coupon Rate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120" w:bottomFromText="150" w:vertAnchor="text" w:tblpY="1"/>
                                            <w:tblOverlap w:val="never"/>
                                            <w:tblW w:w="100%" w:type="pct"/>
                                            <w:tblBorders>
                                              <w:bottom w:val="single" w:sz="12" w:space="0" w:color="000000"/>
                                            </w:tblBorders>
                                            <w:tblCellMar>
                                              <w:top w:w="0pt" w:type="dxa"/>
                                              <w:start w:w="0pt" w:type="dxa"/>
                                              <w:bottom w:w="6pt" w:type="dxa"/>
                                              <w:end w:w="0pt" w:type="dxa"/>
                                            </w:tblCellMar>
                                            <w:tblLook w:firstColumn="1" w:firstRow="1" w:lastColumn="1" w:lastRow="1" w:noVBand="1"/>
                                          </w:tblPr>
                                          <w:tblGrid>
                                            <w:gridCol w:w="11040"/>
                                          </w:tblGrid>
                                          <w:tr>
                                            <w:tblPrEx>
                                              <w:tblW w:w="100%" w:type="pct"/>
                                              <w:tblBorders>
                                                <w:bottom w:val="single" w:sz="12" w:space="0" w:color="000000"/>
                                              </w:tblBorders>
                                              <w:tblCellMar>
                                                <w:top w:w="0pt" w:type="dxa"/>
                                                <w:start w:w="0pt" w:type="dxa"/>
                                                <w:bottom w:w="6pt" w:type="dxa"/>
                                                <w:end w:w="0pt" w:type="dxa"/>
                                              </w:tblCellMar>
                                              <w:tblLook w:firstColumn="1" w:firstRow="1" w:lastColumn="1" w:lastRow="1" w:noVBand="1"/>
                                            </w:tblPrEx>
                                            <w:tc>
                                              <w:tcPr>
                                                <w:tcW w:w="100%" w:type="pct"/>
                                                <w:noWrap/>
                                                <w:tcMar>
                                                  <w:top w:w="1pt" w:type="dxa"/>
                                                  <w:start w:w="1pt" w:type="dxa"/>
                                                  <w:bottom w:w="1.5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75pt" w:type="dxa"/>
                                                              <w:start w:w="1.75pt" w:type="dxa"/>
                                                              <w:bottom w:w="1.75pt" w:type="dxa"/>
                                                              <w:end w:w="1.75pt" w:type="dxa"/>
                                                            </w:tcMar>
                                                            <w:vAlign w:val="top"/>
                                                            <w:hideMark/>
                                                          </w:tcPr>
                                                          <w:p>
                                                            <w:pPr>
                                                              <w:jc w:val="start"/>
                                                              <w:rPr>
                                                                <w:b/>
                                                                <w:bCs/>
                                                                <w:i w:val="0"/>
                                                                <w:iCs w:val="0"/>
                                                                <w:smallCaps w:val="0"/>
                                                                <w:color w:val="000000"/>
                                                                <w:sz w:val="22"/>
                                                                <w:szCs w:val="24"/>
                                                              </w:rPr>
                                                            </w:pPr>
                                                            <w:r>
                                                              <w:rPr>
                                                                <w:b/>
                                                                <w:bCs/>
                                                                <w:i w:val="0"/>
                                                                <w:iCs w:val="0"/>
                                                                <w:smallCaps w:val="0"/>
                                                                <w:color w:val="000000"/>
                                                                <w:sz w:val="22"/>
                                                                <w:szCs w:val="24"/>
                                                              </w:rPr>
                                                              <w:t>Recently Issued</w:t>
                                                            </w:r>
                                                          </w:p>
                                                        </w:tc>
                                                      </w:tr>
                                                    </w:tbl>
                                                    <w:p>
                                                      <w:pPr>
                                                        <w:rPr>
                                                          <w:b/>
                                                          <w:bCs/>
                                                          <w:i w:val="0"/>
                                                          <w:iCs w:val="0"/>
                                                          <w:smallCaps w:val="0"/>
                                                          <w:color w:val="000000"/>
                                                          <w:sz w:val="22"/>
                                                          <w:szCs w:val="24"/>
                                                        </w:rPr>
                                                      </w:pPr>
                                                    </w:p>
                                                  </w:tc>
                                                </w:tr>
                                              </w:tbl>
                                              <w:p>
                                                <w:pPr>
                                                  <w:rPr>
                                                    <w:b/>
                                                    <w:bCs/>
                                                    <w:i w:val="0"/>
                                                    <w:iCs w:val="0"/>
                                                    <w:smallCaps w:val="0"/>
                                                    <w:color w:val="000000"/>
                                                    <w:sz w:val="22"/>
                                                    <w:szCs w:val="24"/>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gap"/>
                                                  <w:tblpPr w:leftFromText="0" w:rightFromText="0" w:topFromText="0" w:bottomFromText="0" w:vertAnchor="text" w:tblpY="1"/>
                                                  <w:tblOverlap w:val="never"/>
                                                  <w:tblW w:w="100%" w:type="pct"/>
                                                  <w:tblCellMar>
                                                    <w:top w:w="0.75pt" w:type="dxa"/>
                                                    <w:start w:w="0.75pt" w:type="dxa"/>
                                                    <w:bottom w:w="11.25pt" w:type="dxa"/>
                                                    <w:end w:w="0.75pt" w:type="dxa"/>
                                                  </w:tblCellMar>
                                                  <w:tblLook w:firstColumn="1" w:firstRow="1" w:lastColumn="1" w:lastRow="1" w:noVBand="1"/>
                                                </w:tblPr>
                                                <w:tblGrid>
                                                  <w:gridCol w:w="11040"/>
                                                </w:tblGrid>
                                                <w:tr>
                                                  <w:tblPrEx>
                                                    <w:tblW w:w="100%" w:type="pct"/>
                                                    <w:tblCellMar>
                                                      <w:top w:w="0.75pt" w:type="dxa"/>
                                                      <w:start w:w="0.75pt" w:type="dxa"/>
                                                      <w:bottom w:w="11.2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11.2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641"/>
                                                              <w:gridCol w:w="1067"/>
                                                              <w:gridCol w:w="961"/>
                                                              <w:gridCol w:w="934"/>
                                                              <w:gridCol w:w="883"/>
                                                              <w:gridCol w:w="882"/>
                                                              <w:gridCol w:w="961"/>
                                                              <w:gridCol w:w="881"/>
                                                              <w:gridCol w:w="961"/>
                                                              <w:gridCol w:w="881"/>
                                                              <w:gridCol w:w="989"/>
                                                            </w:tblGrid>
                                                            <w:tr>
                                                              <w:tblPrEx>
                                                                <w:tblW w:w="100%" w:type="pct"/>
                                                                <w:tblCellMar>
                                                                  <w:top w:w="0.75pt" w:type="dxa"/>
                                                                  <w:start w:w="0.75pt" w:type="dxa"/>
                                                                  <w:bottom w:w="0.75pt" w:type="dxa"/>
                                                                  <w:end w:w="0.75pt" w:type="dxa"/>
                                                                </w:tblCellMar>
                                                                <w:tblLook w:firstColumn="1" w:firstRow="1" w:lastColumn="1" w:lastRow="1" w:noVBand="1"/>
                                                              </w:tblPrEx>
                                                              <w:trPr>
                                                                <w:tblHeader/>
                                                              </w:trPr>
                                                              <w:tc>
                                                                <w:tcPr>
                                                                  <w:tcW w:w="15%"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Issuer</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CUSIP</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Maturity Date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Seniority</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Security Type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Coupon Rate (%)</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Original Issue Date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Issue Currency</w:t>
                                                                  </w:r>
                                                                </w:p>
                                                              </w:tc>
                                                              <w:tc>
                                                                <w:tcPr>
                                                                  <w:tcW w:w="8%" w:type="pct"/>
                                                                  <w:vMerge w:val="restar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Amount Out (Mex$000)*</w:t>
                                                                  </w:r>
                                                                </w:p>
                                                              </w:tc>
                                                              <w:tc>
                                                                <w:tcPr>
                                                                  <w:tcW w:w="8%" w:type="pct"/>
                                                                  <w:vMerge w:val="restar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Price (%)</w:t>
                                                                  </w:r>
                                                                </w:p>
                                                              </w:tc>
                                                              <w:tc>
                                                                <w:tcPr>
                                                                  <w:tcW w:w="9%" w:type="pct"/>
                                                                  <w:shd w:val="clear" w:color="auto" w:fill="F2F2F2"/>
                                                                  <w:noWrap w:val="0"/>
                                                                  <w:tcMar>
                                                                    <w:top w:w="1.75pt" w:type="dxa"/>
                                                                    <w:start w:w="1.75pt" w:type="dxa"/>
                                                                    <w:bottom w:w="1.75pt" w:type="dxa"/>
                                                                    <w:end w:w="1.75pt" w:type="dxa"/>
                                                                  </w:tcMar>
                                                                  <w:vAlign w:val="bottom"/>
                                                                  <w:hideMark/>
                                                                </w:tcPr>
                                                                <w:p>
                                                                  <w:pPr>
                                                                    <w:jc w:val="center"/>
                                                                    <w:rPr>
                                                                      <w:b/>
                                                                      <w:bCs/>
                                                                      <w:i w:val="0"/>
                                                                      <w:iCs w:val="0"/>
                                                                      <w:caps/>
                                                                      <w:smallCaps w:val="0"/>
                                                                      <w:color w:val="000000"/>
                                                                      <w:sz w:val="15"/>
                                                                      <w:szCs w:val="17"/>
                                                                    </w:rPr>
                                                                  </w:pPr>
                                                                  <w:r>
                                                                    <w:rPr>
                                                                      <w:b/>
                                                                      <w:bCs/>
                                                                      <w:i w:val="0"/>
                                                                      <w:iCs w:val="0"/>
                                                                      <w:caps/>
                                                                      <w:smallCaps w:val="0"/>
                                                                      <w:color w:val="000000"/>
                                                                      <w:sz w:val="15"/>
                                                                      <w:szCs w:val="17"/>
                                                                    </w:rPr>
                                                                    <w:t>Current Issue Ratings</w:t>
                                                                  </w:r>
                                                                </w:p>
                                                              </w:tc>
                                                            </w:tr>
                                                            <w:tr>
                                                              <w:tblPrEx>
                                                                <w:tblW w:w="100%" w:type="pct"/>
                                                                <w:tblCellMar>
                                                                  <w:top w:w="0.75pt" w:type="dxa"/>
                                                                  <w:start w:w="0.75pt" w:type="dxa"/>
                                                                  <w:bottom w:w="0.75pt" w:type="dxa"/>
                                                                  <w:end w:w="0.75pt" w:type="dxa"/>
                                                                </w:tblCellMar>
                                                                <w:tblLook w:firstColumn="1" w:firstRow="1" w:lastColumn="1" w:lastRow="1" w:noVBand="1"/>
                                                              </w:tblPrEx>
                                                              <w:trPr>
                                                                <w:tblHeader/>
                                                              </w:trPr>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tcW w:w="9%"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Global Ratings</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P4949BAV6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2/1/2030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Certificate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2/6/2026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4,133,375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P4949BAU8</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1/26/2035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Bond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9.22000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2/6/2026</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7,866,625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12/15/2028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12/16/2025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EUR</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1,518,430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5/22/2028</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5/22/2025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EUR</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3,030,159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P4949BAT1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2/6/2032</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Certificate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10.06000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2/14/2025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12,762,000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mxAAA</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P4949BAS3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2/11/2028</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Certificate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2/14/2025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2,238,000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mxAAA</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9/26/2029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9/24/2024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2,701,103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Term Loan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3/13/2024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1,684,205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09031WAE3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1/9/2036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5.37500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1/9/2024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14,374,640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93.416</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U0901RAD9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1/9/2024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8,085,735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U0901RAE7</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1/9/2036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5.37500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1/9/2024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14,374,640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93.416</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09031WAC7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16,171,470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09031WAD5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1/15/2034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6.40000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9,882,565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101.567</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U0901RAB3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8,085,735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U0901RAC1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1/15/2034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6.40000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9,882,565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101.567</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120" w:bottomFromText="150" w:vertAnchor="text" w:tblpY="1"/>
                                            <w:tblOverlap w:val="never"/>
                                            <w:tblW w:w="100%" w:type="pct"/>
                                            <w:tblBorders>
                                              <w:bottom w:val="single" w:sz="12" w:space="0" w:color="000000"/>
                                            </w:tblBorders>
                                            <w:tblCellMar>
                                              <w:top w:w="0pt" w:type="dxa"/>
                                              <w:start w:w="0pt" w:type="dxa"/>
                                              <w:bottom w:w="6pt" w:type="dxa"/>
                                              <w:end w:w="0pt" w:type="dxa"/>
                                            </w:tblCellMar>
                                            <w:tblLook w:firstColumn="1" w:firstRow="1" w:lastColumn="1" w:lastRow="1" w:noVBand="1"/>
                                          </w:tblPr>
                                          <w:tblGrid>
                                            <w:gridCol w:w="11040"/>
                                          </w:tblGrid>
                                          <w:tr>
                                            <w:tblPrEx>
                                              <w:tblW w:w="100%" w:type="pct"/>
                                              <w:tblBorders>
                                                <w:bottom w:val="single" w:sz="12" w:space="0" w:color="000000"/>
                                              </w:tblBorders>
                                              <w:tblCellMar>
                                                <w:top w:w="0pt" w:type="dxa"/>
                                                <w:start w:w="0pt" w:type="dxa"/>
                                                <w:bottom w:w="6pt" w:type="dxa"/>
                                                <w:end w:w="0pt" w:type="dxa"/>
                                              </w:tblCellMar>
                                              <w:tblLook w:firstColumn="1" w:firstRow="1" w:lastColumn="1" w:lastRow="1" w:noVBand="1"/>
                                            </w:tblPrEx>
                                            <w:tc>
                                              <w:tcPr>
                                                <w:tcW w:w="100%" w:type="pct"/>
                                                <w:noWrap/>
                                                <w:tcMar>
                                                  <w:top w:w="1pt" w:type="dxa"/>
                                                  <w:start w:w="1pt" w:type="dxa"/>
                                                  <w:bottom w:w="1.5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75pt" w:type="dxa"/>
                                                              <w:start w:w="1.75pt" w:type="dxa"/>
                                                              <w:bottom w:w="1.75pt" w:type="dxa"/>
                                                              <w:end w:w="1.75pt" w:type="dxa"/>
                                                            </w:tcMar>
                                                            <w:vAlign w:val="top"/>
                                                            <w:hideMark/>
                                                          </w:tcPr>
                                                          <w:p>
                                                            <w:pPr>
                                                              <w:jc w:val="start"/>
                                                              <w:rPr>
                                                                <w:b/>
                                                                <w:bCs/>
                                                                <w:i w:val="0"/>
                                                                <w:iCs w:val="0"/>
                                                                <w:smallCaps w:val="0"/>
                                                                <w:color w:val="000000"/>
                                                                <w:sz w:val="22"/>
                                                                <w:szCs w:val="24"/>
                                                              </w:rPr>
                                                            </w:pPr>
                                                            <w:r>
                                                              <w:rPr>
                                                                <w:b/>
                                                                <w:bCs/>
                                                                <w:i w:val="0"/>
                                                                <w:iCs w:val="0"/>
                                                                <w:smallCaps w:val="0"/>
                                                                <w:color w:val="000000"/>
                                                                <w:sz w:val="22"/>
                                                                <w:szCs w:val="24"/>
                                                              </w:rPr>
                                                              <w:t>Upcoming Callable</w:t>
                                                            </w:r>
                                                          </w:p>
                                                        </w:tc>
                                                      </w:tr>
                                                    </w:tbl>
                                                    <w:p>
                                                      <w:pPr>
                                                        <w:rPr>
                                                          <w:b/>
                                                          <w:bCs/>
                                                          <w:i w:val="0"/>
                                                          <w:iCs w:val="0"/>
                                                          <w:smallCaps w:val="0"/>
                                                          <w:color w:val="000000"/>
                                                          <w:sz w:val="22"/>
                                                          <w:szCs w:val="24"/>
                                                        </w:rPr>
                                                      </w:pPr>
                                                    </w:p>
                                                  </w:tc>
                                                </w:tr>
                                              </w:tbl>
                                              <w:p>
                                                <w:pPr>
                                                  <w:rPr>
                                                    <w:b/>
                                                    <w:bCs/>
                                                    <w:i w:val="0"/>
                                                    <w:iCs w:val="0"/>
                                                    <w:smallCaps w:val="0"/>
                                                    <w:color w:val="000000"/>
                                                    <w:sz w:val="22"/>
                                                    <w:szCs w:val="24"/>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gap"/>
                                                  <w:tblpPr w:leftFromText="0" w:rightFromText="0" w:topFromText="0" w:bottomFromText="0" w:vertAnchor="text" w:tblpY="1"/>
                                                  <w:tblOverlap w:val="never"/>
                                                  <w:tblW w:w="100%" w:type="pct"/>
                                                  <w:tblCellMar>
                                                    <w:top w:w="0.75pt" w:type="dxa"/>
                                                    <w:start w:w="0.75pt" w:type="dxa"/>
                                                    <w:bottom w:w="11.25pt" w:type="dxa"/>
                                                    <w:end w:w="0.75pt" w:type="dxa"/>
                                                  </w:tblCellMar>
                                                  <w:tblLook w:firstColumn="1" w:firstRow="1" w:lastColumn="1" w:lastRow="1" w:noVBand="1"/>
                                                </w:tblPr>
                                                <w:tblGrid>
                                                  <w:gridCol w:w="11040"/>
                                                </w:tblGrid>
                                                <w:tr>
                                                  <w:tblPrEx>
                                                    <w:tblW w:w="100%" w:type="pct"/>
                                                    <w:tblCellMar>
                                                      <w:top w:w="0.75pt" w:type="dxa"/>
                                                      <w:start w:w="0.75pt" w:type="dxa"/>
                                                      <w:bottom w:w="11.2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11.2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634"/>
                                                              <w:gridCol w:w="1085"/>
                                                              <w:gridCol w:w="961"/>
                                                              <w:gridCol w:w="934"/>
                                                              <w:gridCol w:w="883"/>
                                                              <w:gridCol w:w="880"/>
                                                              <w:gridCol w:w="961"/>
                                                              <w:gridCol w:w="879"/>
                                                              <w:gridCol w:w="961"/>
                                                              <w:gridCol w:w="880"/>
                                                              <w:gridCol w:w="984"/>
                                                            </w:tblGrid>
                                                            <w:tr>
                                                              <w:tblPrEx>
                                                                <w:tblW w:w="100%" w:type="pct"/>
                                                                <w:tblCellMar>
                                                                  <w:top w:w="0.75pt" w:type="dxa"/>
                                                                  <w:start w:w="0.75pt" w:type="dxa"/>
                                                                  <w:bottom w:w="0.75pt" w:type="dxa"/>
                                                                  <w:end w:w="0.75pt" w:type="dxa"/>
                                                                </w:tblCellMar>
                                                                <w:tblLook w:firstColumn="1" w:firstRow="1" w:lastColumn="1" w:lastRow="1" w:noVBand="1"/>
                                                              </w:tblPrEx>
                                                              <w:trPr>
                                                                <w:tblHeader/>
                                                              </w:trPr>
                                                              <w:tc>
                                                                <w:tcPr>
                                                                  <w:tcW w:w="15%"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Issuer</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CUSIP</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Maturity Date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Seniority</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Security Type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Coupon Rate (%)</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Next Call Date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Issue Currency</w:t>
                                                                  </w:r>
                                                                </w:p>
                                                              </w:tc>
                                                              <w:tc>
                                                                <w:tcPr>
                                                                  <w:tcW w:w="8%" w:type="pct"/>
                                                                  <w:vMerge w:val="restar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Amount Out (Mex$000)*</w:t>
                                                                  </w:r>
                                                                </w:p>
                                                              </w:tc>
                                                              <w:tc>
                                                                <w:tcPr>
                                                                  <w:tcW w:w="8%" w:type="pct"/>
                                                                  <w:vMerge w:val="restar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Price (%)</w:t>
                                                                  </w:r>
                                                                </w:p>
                                                              </w:tc>
                                                              <w:tc>
                                                                <w:tcPr>
                                                                  <w:tcW w:w="9%" w:type="pct"/>
                                                                  <w:shd w:val="clear" w:color="auto" w:fill="F2F2F2"/>
                                                                  <w:noWrap w:val="0"/>
                                                                  <w:tcMar>
                                                                    <w:top w:w="1.75pt" w:type="dxa"/>
                                                                    <w:start w:w="1.75pt" w:type="dxa"/>
                                                                    <w:bottom w:w="1.75pt" w:type="dxa"/>
                                                                    <w:end w:w="1.75pt" w:type="dxa"/>
                                                                  </w:tcMar>
                                                                  <w:vAlign w:val="bottom"/>
                                                                  <w:hideMark/>
                                                                </w:tcPr>
                                                                <w:p>
                                                                  <w:pPr>
                                                                    <w:jc w:val="center"/>
                                                                    <w:rPr>
                                                                      <w:b/>
                                                                      <w:bCs/>
                                                                      <w:i w:val="0"/>
                                                                      <w:iCs w:val="0"/>
                                                                      <w:caps/>
                                                                      <w:smallCaps w:val="0"/>
                                                                      <w:color w:val="000000"/>
                                                                      <w:sz w:val="15"/>
                                                                      <w:szCs w:val="17"/>
                                                                    </w:rPr>
                                                                  </w:pPr>
                                                                  <w:r>
                                                                    <w:rPr>
                                                                      <w:b/>
                                                                      <w:bCs/>
                                                                      <w:i w:val="0"/>
                                                                      <w:iCs w:val="0"/>
                                                                      <w:caps/>
                                                                      <w:smallCaps w:val="0"/>
                                                                      <w:color w:val="000000"/>
                                                                      <w:sz w:val="15"/>
                                                                      <w:szCs w:val="17"/>
                                                                    </w:rPr>
                                                                    <w:t>Current Issue Ratings</w:t>
                                                                  </w:r>
                                                                </w:p>
                                                              </w:tc>
                                                            </w:tr>
                                                            <w:tr>
                                                              <w:tblPrEx>
                                                                <w:tblW w:w="100%" w:type="pct"/>
                                                                <w:tblCellMar>
                                                                  <w:top w:w="0.75pt" w:type="dxa"/>
                                                                  <w:start w:w="0.75pt" w:type="dxa"/>
                                                                  <w:bottom w:w="0.75pt" w:type="dxa"/>
                                                                  <w:end w:w="0.75pt" w:type="dxa"/>
                                                                </w:tblCellMar>
                                                                <w:tblLook w:firstColumn="1" w:firstRow="1" w:lastColumn="1" w:lastRow="1" w:noVBand="1"/>
                                                              </w:tblPrEx>
                                                              <w:trPr>
                                                                <w:tblHeader/>
                                                              </w:trPr>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tcW w:w="9%"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Global Ratings</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09031WAC7</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12/15/2028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16,171,470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U0901RAB3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12/15/2028</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8,085,735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U0901RAD9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12/15/2028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8,085,735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09031WAD5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1/15/2034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6.40000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10/15/2033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9,882,565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101.567</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U0901RAC1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1/15/2034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6.40000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10/15/2033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9,882,565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101.567</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U0901RAE7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1/9/2036</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5.37500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10/9/2035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14,374,640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93.416</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09031WAE3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1/9/2036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5.37500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10/9/2035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14,374,640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93.416</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40052VAE4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11/10/2047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4.70000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5/10/2047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11,679,395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77.484</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P4R52QAC9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11/10/2047</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4.70000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5/10/2047</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11,679,395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77.484</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40052VAG9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9/6/2049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3/6/2049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68.195</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P4949BAP9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9/6/2049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3/6/2049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68.195</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09031WAA1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5/17/2051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Bond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11/17/2050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67.429</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U0901RAA5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5/17/2051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Bond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11/17/2050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67.429</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Price (%) - Price field displays an Evaluated Price or New York/London Close Price (for Loans only).</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*The amount outstanding field is not applicable or pulling updated value for IHS loan securities.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tbl>
                                                                        <w:tblPr>
                                                                          <w:tblStyle w:val="table"/>
                                                                          <w:tblCellMar>
                                                                            <w:top w:w="0.75pt" w:type="dxa"/>
                                                                            <w:start w:w="0.75pt" w:type="dxa"/>
                                                                            <w:bottom w:w="0.75pt" w:type="dxa"/>
                                                                            <w:end w:w="0.75pt" w:type="dxa"/>
                                                                          </w:tblCellMar>
                                                                          <w:tblLook w:firstColumn="1" w:firstRow="1" w:lastColumn="1" w:lastRow="1" w:noVBand="1"/>
                                                                        </w:tblPr>
                                                                        <w:tblGrid>
                                                                          <w:gridCol w:w="3331"/>
                                                                          <w:gridCol w:w="520"/>
                                                                        </w:tblGrid>
                                                                        <w:tr>
                                                                          <w:tblPrEx>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center"/>
                                                                              <w:hideMark/>
                                                                            </w:tcPr>
                                                                            <w:p>
                                                                              <w:pPr>
                                                                                <w:rPr>
                                                                                  <w:b w:val="0"/>
                                                                                  <w:bCs w:val="0"/>
                                                                                  <w:i w:val="0"/>
                                                                                  <w:iCs w:val="0"/>
                                                                                  <w:smallCaps w:val="0"/>
                                                                                  <w:color w:val="000000"/>
                                                                                  <w:sz w:val="16"/>
                                                                                </w:rPr>
                                                                              </w:pPr>
                                                                              <w:r>
                                                                                <w:rPr>
                                                                                  <w:b w:val="0"/>
                                                                                  <w:bCs w:val="0"/>
                                                                                  <w:i w:val="0"/>
                                                                                  <w:iCs w:val="0"/>
                                                                                  <w:smallCaps w:val="0"/>
                                                                                  <w:color w:val="000000"/>
                                                                                  <w:sz w:val="16"/>
                                                                                </w:rPr>
                                                                                <w:t>S&amp;P Credit Ratings and Research provided by</w:t>
                                                                              </w:r>
                                                                            </w:p>
                                                                          </w:tc>
                                                                          <w:tc>
                                                                            <w:tcPr>
                                                                              <w:noWrap w:val="0"/>
                                                                              <w:tcMar>
                                                                                <w:top w:w="1pt" w:type="dxa"/>
                                                                                <w:start w:w="1pt" w:type="dxa"/>
                                                                                <w:bottom w:w="1pt" w:type="dxa"/>
                                                                                <w:end w:w="1pt" w:type="dxa"/>
                                                                              </w:tcMar>
                                                                              <w:vAlign w:val="center"/>
                                                                              <w:hideMark/>
                                                                            </w:tcPr>
                                                                            <w:p>
                                                                              <w:pPr>
                                                                                <w:rPr>
                                                                                  <w:b w:val="0"/>
                                                                                  <w:bCs w:val="0"/>
                                                                                  <w:i w:val="0"/>
                                                                                  <w:iCs w:val="0"/>
                                                                                  <w:smallCaps w:val="0"/>
                                                                                  <w:color w:val="000000"/>
                                                                                  <w:sz w:val="16"/>
                                                                                </w:rPr>
                                                                              </w:pPr>
                                                                              <w:r>
                                                                                <w:rPr>
                                                                                  <w:b w:val="0"/>
                                                                                  <w:bCs w:val="0"/>
                                                                                  <w:i w:val="0"/>
                                                                                  <w:iCs w:val="0"/>
                                                                                  <w:smallCaps w:val="0"/>
                                                                                  <w:strike w:val="0"/>
                                                                                  <w:color w:val="000000"/>
                                                                                  <w:u w:val="none"/>
                                                                                </w:rPr>
                                                                                <w:drawing>
                                                                                  <wp:inline>
                                                                                    <wp:extent cx="304843" cy="304843"/>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5795338" name=""/>
                                                                                            <pic:cNvPicPr>
                                                                                              <a:picLocks noChangeAspect="1"/>
                                                                                            </pic:cNvPicPr>
                                                                                          </pic:nvPicPr>
                                                                                          <pic:blipFill>
                                                                                            <a:blip xmlns:r="http://purl.oclc.org/ooxml/officeDocument/relationships" r:embed="rId4"/>
                                                                                            <a:stretch>
                                                                                              <a:fillRect/>
                                                                                            </a:stretch>
                                                                                          </pic:blipFill>
                                                                                          <pic:spPr>
                                                                                            <a:xfrm>
                                                                                              <a:off x="0" y="0"/>
                                                                                              <a:ext cx="304843" cy="304843"/>
                                                                                            </a:xfrm>
                                                                                            <a:prstGeom prst="rect">
                                                                                              <a:avLst/>
                                                                                            </a:prstGeom>
                                                                                            <a:ln>
                                                                                              <a:noFill/>
                                                                                            </a:ln>
                                                                                          </pic:spPr>
                                                                                        </pic:pic>
                                                                                      </a:graphicData>
                                                                                    </a:graphic>
                                                                                  </wp:inline>
                                                                                </w:drawing>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Copyright © 2020, Fitch Ratings, Inc., Fitch Ratings, Ltd. and its subsidiaries (“Fitch”). Reproduction of the Fitch credit ratings in any form is prohibited except with the prior written permission of Fitch. Fitch does not guarantee the accuracy, completeness, timeliness or availability of any information, including ratings, and is not responsible for any errors or omissions (negligent or otherwise), regardless of the cause, or for the results obtained from the use of ratings. FITCH GIVES NO EXPRESS OR IMPLIED WARRANTIES, INCLUDING, BUT NOT LIMITED TO, ANY WARRANTIES OF MERCHANTABILITY OR FITNESS FOR A PARTICULAR PURPOSE OR USE. Fitch shall not be liable for any direct, indirect, incidental, exemplary, compensatory, punitive, special or consequential damages, costs, expenses, legal fees, or losses (including lost income or profits and opportunity costs or losses caused by negligence) in connection with any use of the Fitch credit ratings. Fitch's ratings are statements of opinions and are not statements of fact or recommendations to purchase, hold or sell securities. Fitch credit ratings do not address the market value of securities or the suitability of securities for investment purposes, and should not be relied on as investment advice.</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Securities finance and pricing data may not be used in conjunction with Investment Accounting Activities.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pStyle w:val="div"/>
        <w:spacing w:after="0"/>
        <w:ind w:start="150" w:end="150"/>
        <w:rPr>
          <w:color w:val="3F3F3F"/>
          <w:sz w:val="16"/>
        </w:rPr>
      </w:pPr>
    </w:p>
    <w:sectPr>
      <w:headerReference w:type="default" r:id="rId5"/>
      <w:footerReference w:type="default" r:id="rId6"/>
      <w:headerReference w:type="first" r:id="rId7"/>
      <w:footerReference w:type="first" r:id="rId8"/>
      <w:pgSz w:w="12240" w:h="15840"/>
      <w:pgMar w:top="600" w:right="600" w:bottom="600" w:left="600" w:header="288" w:footer="288"/>
      <w:cols w:space="720"/>
      <w:titlePg/>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7010400" cy="0"/>
          <wp:effectExtent l="0" t="0" r="0" b="0"/>
          <wp:wrapNone/>
          <wp:docPr id="100006" name="Line 100006"/>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010400" cy="0"/>
          <wp:effectExtent l="0" t="0" r="0" b="0"/>
          <wp:wrapNone/>
          <wp:docPr id="100007" name="Line 100007"/>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688"/>
      <w:gridCol w:w="352"/>
    </w:tblGrid>
    <w:tr>
      <w:tblPrEx>
        <w:tblW w:w="100%" w:type="pct"/>
        <w:tblCellMar>
          <w:start w:w="5.4pt" w:type="dxa"/>
          <w:end w:w="5.4pt" w:type="dxa"/>
        </w:tblCellMar>
      </w:tblPrEx>
      <w:tc>
        <w:tcPr/>
        <w:p>
          <w:pPr>
            <w:keepLines w:val="0"/>
            <w:spacing w:before="0" w:beforeAutospacing="0" w:after="0" w:afterAutospacing="0"/>
            <w:jc w:val="start"/>
            <w:rPr>
              <w:b w:val="0"/>
              <w:bCs w:val="0"/>
              <w:i w:val="0"/>
              <w:iCs w:val="0"/>
              <w:smallCaps w:val="0"/>
              <w:color w:val="000000"/>
            </w:rPr>
          </w:pPr>
          <w:r>
            <w:rPr>
              <w:b w:val="0"/>
              <w:bCs w:val="0"/>
              <w:i w:val="0"/>
              <w:iCs w:val="0"/>
              <w:smallCaps w:val="0"/>
              <w:color w:val="000000"/>
            </w:rPr>
            <w:drawing>
              <wp:inline>
                <wp:extent cx="1724266" cy="476316"/>
                <wp:docPr id="100002"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0796625"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16"/>
            </w:rPr>
          </w:pPr>
          <w:r>
            <w:rPr>
              <w:b/>
              <w:bCs w:val="0"/>
              <w:i w:val="0"/>
              <w:iCs w:val="0"/>
              <w:smallCaps w:val="0"/>
              <w:color w:val="000000"/>
              <w:sz w:val="16"/>
            </w:rPr>
            <w:t>Grupo Bimbo, S.A.B. de C.V. BMV:BIMBO A (MI KEY: 4276592; SPCIQ KEY: 877906)</w:t>
          </w:r>
        </w:p>
        <w:p>
          <w:pPr>
            <w:keepLines w:val="0"/>
            <w:spacing w:before="0" w:beforeAutospacing="0" w:after="0" w:afterAutospacing="0" w:line="0" w:lineRule="atLeast"/>
            <w:jc w:val="start"/>
            <w:rPr>
              <w:b/>
              <w:bCs w:val="0"/>
              <w:i w:val="0"/>
              <w:iCs w:val="0"/>
              <w:smallCaps w:val="0"/>
              <w:color w:val="000000"/>
              <w:sz w:val="16"/>
            </w:rPr>
          </w:pPr>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7010400" cy="0"/>
                <wp:effectExtent l="0" t="0" r="0" b="0"/>
                <wp:wrapNone/>
                <wp:docPr id="100003" name="Line 100003"/>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755"/>
      <w:gridCol w:w="285"/>
    </w:tblGrid>
    <w:tr>
      <w:tblPrEx>
        <w:tblW w:w="100%" w:type="pct"/>
        <w:tblCellMar>
          <w:start w:w="5.4pt" w:type="dxa"/>
          <w:end w:w="5.4pt" w:type="dxa"/>
        </w:tblCellMar>
      </w:tblPrEx>
      <w:tc>
        <w:tcPr>
          <w:vAlign w:val="center"/>
        </w:tcPr>
        <w:p>
          <w:pPr>
            <w:keepLines w:val="0"/>
            <w:spacing w:before="0" w:beforeAutospacing="0" w:after="0" w:afterAutospacing="0"/>
            <w:jc w:val="start"/>
            <w:rPr>
              <w:b w:val="0"/>
              <w:bCs w:val="0"/>
              <w:i w:val="0"/>
              <w:iCs w:val="0"/>
              <w:smallCaps w:val="0"/>
              <w:color w:val="000000"/>
              <w:sz w:val="16"/>
            </w:rPr>
          </w:pPr>
          <w:r>
            <w:rPr>
              <w:b w:val="0"/>
              <w:bCs w:val="0"/>
              <w:i w:val="0"/>
              <w:iCs w:val="0"/>
              <w:smallCaps w:val="0"/>
              <w:color w:val="000000"/>
              <w:sz w:val="16"/>
            </w:rPr>
            <w:drawing>
              <wp:inline>
                <wp:extent cx="1724266" cy="476316"/>
                <wp:docPr id="100004"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4910407"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6"/>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20"/>
            </w:rPr>
          </w:pPr>
          <w:r>
            <w:rPr>
              <w:b/>
              <w:bCs w:val="0"/>
              <w:i w:val="0"/>
              <w:iCs w:val="0"/>
              <w:smallCaps w:val="0"/>
              <w:color w:val="000000"/>
              <w:sz w:val="20"/>
            </w:rPr>
            <w:t>Grupo Bimbo, S.A.B. de C.V. BMV:BIMBO A (MI KEY: 4276592; SPCIQ KEY: 877906)</w:t>
          </w:r>
        </w:p>
        <w:p>
          <w:pPr>
            <w:keepLines w:val="0"/>
            <w:spacing w:before="0" w:beforeAutospacing="0" w:after="0" w:afterAutospacing="0" w:line="0" w:lineRule="atLeast"/>
            <w:jc w:val="start"/>
            <w:rPr>
              <w:b/>
              <w:bCs w:val="0"/>
              <w:i w:val="0"/>
              <w:iCs w:val="0"/>
              <w:smallCaps w:val="0"/>
              <w:color w:val="000000"/>
              <w:sz w:val="20"/>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010400" cy="0"/>
                <wp:effectExtent l="0" t="0" r="0" b="0"/>
                <wp:wrapNone/>
                <wp:docPr id="100005" name="Line 100005"/>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Arial" w:eastAsia="Arial" w:hAnsi="Arial" w:cs="Arial"/>
      <w:sz w:val="18"/>
      <w:szCs w:val="18"/>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pt" w:type="dxa"/>
      <w:tblCellMar>
        <w:top w:w="0pt" w:type="dxa"/>
        <w:start w:w="5.4pt" w:type="dxa"/>
        <w:bottom w:w="0pt" w:type="dxa"/>
        <w:end w:w="5.4pt" w:type="dxa"/>
      </w:tblCellMar>
    </w:tblPr>
  </w:style>
  <w:style w:type="paragraph" w:customStyle="1" w:styleId="container-12">
    <w:name w:val="container-12"/>
    <w:basedOn w:val="Normal"/>
  </w:style>
  <w:style w:type="table" w:customStyle="1" w:styleId="table">
    <w:name w:val="table"/>
    <w:basedOn w:val="TableNormal"/>
    <w:tblPr/>
  </w:style>
  <w:style w:type="table" w:customStyle="1" w:styleId="col-md-12">
    <w:name w:val="col-md-12"/>
    <w:basedOn w:val="TableNormal"/>
    <w:tblPr/>
  </w:style>
  <w:style w:type="table" w:customStyle="1" w:styleId="hui-print-bannerany">
    <w:name w:val="hui-print-banner_any"/>
    <w:basedOn w:val="TableNormal"/>
    <w:tblPr/>
  </w:style>
  <w:style w:type="paragraph" w:customStyle="1" w:styleId="div">
    <w:name w:val="div"/>
    <w:basedOn w:val="Normal"/>
    <w:rPr>
      <w:rFonts w:ascii="Arial" w:eastAsia="Arial" w:hAnsi="Arial" w:cs="Arial"/>
      <w:sz w:val="18"/>
      <w:szCs w:val="18"/>
    </w:rPr>
  </w:style>
  <w:style w:type="table" w:customStyle="1" w:styleId="tablehui-grid">
    <w:name w:val="table_hui-grid"/>
    <w:basedOn w:val="TableNormal"/>
    <w:tblPr/>
  </w:style>
  <w:style w:type="table" w:customStyle="1" w:styleId="hui-gap">
    <w:name w:val="hui-gap"/>
    <w:basedOn w:val="TableNormal"/>
    <w:tblPr/>
  </w:style>
  <w:style w:type="table" w:customStyle="1" w:styleId="hui-box">
    <w:name w:val="hui-box"/>
    <w:basedOn w:val="TableNormal"/>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image" Target="media/image1.png" /><Relationship Id="rId5" Type="http://purl.oclc.org/ooxml/officeDocument/relationships/header" Target="header1.xml" /><Relationship Id="rId6" Type="http://purl.oclc.org/ooxml/officeDocument/relationships/footer" Target="footer1.xml" /><Relationship Id="rId7" Type="http://purl.oclc.org/ooxml/officeDocument/relationships/header" Target="header2.xml" /><Relationship Id="rId8" Type="http://purl.oclc.org/ooxml/officeDocument/relationships/footer" Target="footer2.xml" /><Relationship Id="rId9" Type="http://purl.oclc.org/ooxml/officeDocument/relationships/styles" Target="styles.xml" /></Relationships>
</file>

<file path=word/_rels/header1.xml.rels>&#65279;<?xml version="1.0" encoding="utf-8" standalone="yes"?><Relationships xmlns="http://schemas.openxmlformats.org/package/2006/relationships"><Relationship Id="rId1" Type="http://purl.oclc.org/ooxml/officeDocument/relationships/image" Target="media/image2.png" /></Relationships>
</file>

<file path=word/_rels/header2.xml.rels>&#65279;<?xml version="1.0" encoding="utf-8" standalone="yes"?><Relationships xmlns="http://schemas.openxmlformats.org/package/2006/relationships"><Relationship Id="rId1" Type="http://purl.oclc.org/ooxml/officeDocument/relationships/image" Target="media/image2.png" /></Relationships>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