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StyleTable"/>
        <w:tblpPr w:leftFromText="75" w:rightFromText="75" w:topFromText="150" w:bottomFromText="150" w:vertAnchor="text" w:tblpY="1"/>
        <w:tblOverlap w:val="never"/>
        <w:tblW w:w="96%" w:type="pct"/>
        <w:tblCellSpacing w:w="0pt" w:type="dxa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054"/>
      </w:tblGrid>
      <w:tr>
        <w:tblPrEx>
          <w:tblW w:w="96%" w:type="pct"/>
          <w:tblCellSpacing w:w="0pt" w:type="dxa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rPr>
          <w:tblCellSpacing w:w="0pt" w:type="dxa"/>
        </w:trPr>
        <w:tc>
          <w:tcPr>
            <w:noWrap w:val="0"/>
            <w:tcMar>
              <w:top w:w="0.75pt" w:type="dxa"/>
              <w:start w:w="0.75pt" w:type="dxa"/>
              <w:bottom w:w="0.75pt" w:type="dxa"/>
              <w:end w:w="0.75pt" w:type="dxa"/>
            </w:tcMar>
            <w:vAlign w:val="top"/>
            <w:hideMark/>
          </w:tcPr>
          <w:tbl>
            <w:tblPr>
              <w:tblStyle w:val="StyleTable"/>
              <w:tblpPr w:leftFromText="0" w:rightFromText="0" w:topFromText="0" w:bottomFromText="0" w:vertAnchor="text" w:tblpY="1"/>
              <w:tblOverlap w:val="never"/>
              <w:tblW w:w="100%" w:type="pct"/>
              <w:tblCellSpacing w:w="0pt" w:type="dxa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814"/>
              <w:gridCol w:w="30"/>
              <w:gridCol w:w="30"/>
              <w:gridCol w:w="30"/>
              <w:gridCol w:w="30"/>
              <w:gridCol w:w="30"/>
              <w:gridCol w:w="30"/>
              <w:gridCol w:w="30"/>
              <w:gridCol w:w="30"/>
            </w:tblGrid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cantSplit/>
                <w:tblCellSpacing w:w="0pt" w:type="dxa"/>
              </w:trPr>
              <w:tc>
                <w:tcPr>
                  <w:tcW w:w="100%" w:type="pct"/>
                  <w:gridSpan w:val="9"/>
                  <w:noWrap w:val="0"/>
                  <w:tcMar>
                    <w:top w:w="0.75pt" w:type="dxa"/>
                    <w:start w:w="0.75pt" w:type="dxa"/>
                    <w:bottom w:w="0.75pt" w:type="dxa"/>
                    <w:end w:w="0.75pt" w:type="dxa"/>
                  </w:tcMar>
                  <w:vAlign w:val="top"/>
                  <w:hideMark/>
                </w:tcPr>
                <w:p>
                  <w:pPr>
                    <w:keepLines w:val="0"/>
                    <w:spacing w:before="0" w:beforeAutospacing="0" w:after="0" w:afterAutospacing="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  <w:t>BMV:BIMBO A (MI KEY: 4276592; SPCIQ KEY: 877906)</w:t>
                  </w: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tcW w:w="100%" w:type="pct"/>
                  <w:noWrap w:val="0"/>
                  <w:tcMar>
                    <w:top w:w="0.75pt" w:type="dxa"/>
                    <w:start w:w="0.75pt" w:type="dxa"/>
                    <w:bottom w:w="0.75pt" w:type="dxa"/>
                    <w:end w:w="0.75pt" w:type="dxa"/>
                  </w:tcMar>
                  <w:vAlign w:val="top"/>
                  <w:hideMark/>
                </w:tcPr>
                <w:tbl>
                  <w:tblPr>
                    <w:tblStyle w:val="Style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Spacing w:w="0pt" w:type="dxa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4605"/>
                    <w:gridCol w:w="4605"/>
                    <w:gridCol w:w="4605"/>
                  </w:tblGrid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33%" w:type="pct"/>
                        <w:noWrap w:val="0"/>
                        <w:tcMar>
                          <w:top w:w="0.75pt" w:type="dxa"/>
                          <w:start w:w="0.75pt" w:type="dxa"/>
                          <w:bottom w:w="0.75pt" w:type="dxa"/>
                          <w:end w:w="0.7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  <w:t>Currency : MXN</w:t>
                        </w:r>
                      </w:p>
                    </w:tc>
                    <w:tc>
                      <w:tcPr>
                        <w:tcW w:w="33%" w:type="pct"/>
                        <w:noWrap w:val="0"/>
                        <w:tcMar>
                          <w:top w:w="0.75pt" w:type="dxa"/>
                          <w:start w:w="0.75pt" w:type="dxa"/>
                          <w:bottom w:w="0.75pt" w:type="dxa"/>
                          <w:end w:w="0.7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  <w:t>Identifier : Exchange:Ticker</w:t>
                        </w:r>
                      </w:p>
                    </w:tc>
                    <w:tc>
                      <w:tcPr>
                        <w:tcW w:w="33%" w:type="pct"/>
                        <w:noWrap w:val="0"/>
                        <w:tcMar>
                          <w:top w:w="0.75pt" w:type="dxa"/>
                          <w:start w:w="0.75pt" w:type="dxa"/>
                          <w:bottom w:w="0.75pt" w:type="dxa"/>
                          <w:end w:w="0.7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  <w:t>Status : Active</w:t>
                        </w: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33%" w:type="pct"/>
                        <w:noWrap w:val="0"/>
                        <w:tcMar>
                          <w:top w:w="0.75pt" w:type="dxa"/>
                          <w:start w:w="0.75pt" w:type="dxa"/>
                          <w:bottom w:w="0.75pt" w:type="dxa"/>
                          <w:end w:w="0.75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</w:p>
                    </w:tc>
                    <w:tc>
                      <w:tcPr>
                        <w:vAlign w:val="center"/>
                        <w:hideMark/>
                      </w:tcPr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tcW w:w="100%" w:type="pct"/>
                  <w:noWrap w:val="0"/>
                  <w:tcMar>
                    <w:top w:w="0.75pt" w:type="dxa"/>
                    <w:start w:w="0.75pt" w:type="dxa"/>
                    <w:bottom w:w="0.75pt" w:type="dxa"/>
                    <w:end w:w="0.75pt" w:type="dxa"/>
                  </w:tcMar>
                  <w:vAlign w:val="top"/>
                  <w:hideMark/>
                </w:tcPr>
                <w:tbl>
                  <w:tblPr>
                    <w:tblStyle w:val="Style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Spacing w:w="0pt" w:type="dxa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814"/>
                  </w:tblGrid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noWrap w:val="0"/>
                        <w:tcMar>
                          <w:top w:w="0.75pt" w:type="dxa"/>
                          <w:start w:w="0.75pt" w:type="dxa"/>
                          <w:bottom w:w="0.75pt" w:type="dxa"/>
                          <w:end w:w="0.75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StyleTableWithBorder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Spacing w:w="0pt" w:type="dxa"/>
                          <w:tblBorders>
                            <w:top w:val="single" w:sz="6" w:space="0" w:color="E3E3E3"/>
                            <w:start w:val="single" w:sz="6" w:space="0" w:color="E3E3E3"/>
                            <w:bottom w:val="single" w:sz="6" w:space="0" w:color="E3E3E3"/>
                            <w:end w:val="single" w:sz="6" w:space="0" w:color="E3E3E3"/>
                          </w:tblBorders>
                          <w:tblCellMar>
                            <w:top w:w="0pt" w:type="dxa"/>
                            <w:start w:w="0pt" w:type="dxa"/>
                            <w:bottom w:w="0pt" w:type="dxa"/>
                            <w:end w:w="0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94"/>
                          <w:gridCol w:w="1126"/>
                          <w:gridCol w:w="1126"/>
                          <w:gridCol w:w="1126"/>
                          <w:gridCol w:w="1126"/>
                          <w:gridCol w:w="1126"/>
                          <w:gridCol w:w="1126"/>
                          <w:gridCol w:w="1126"/>
                          <w:gridCol w:w="1126"/>
                          <w:gridCol w:w="1126"/>
                          <w:gridCol w:w="1126"/>
                          <w:gridCol w:w="1126"/>
                        </w:tblGrid>
                        <w:tr>
                          <w:tblPrEx>
                            <w:tblW w:w="100%" w:type="pct"/>
                            <w:tblCellSpacing w:w="0pt" w:type="dxa"/>
                            <w:tblBorders>
                              <w:top w:val="single" w:sz="6" w:space="0" w:color="E3E3E3"/>
                              <w:start w:val="single" w:sz="6" w:space="0" w:color="E3E3E3"/>
                              <w:bottom w:val="single" w:sz="6" w:space="0" w:color="E3E3E3"/>
                              <w:end w:val="single" w:sz="6" w:space="0" w:color="E3E3E3"/>
                            </w:tblBorders>
                            <w:tblCellMar>
                              <w:top w:w="0pt" w:type="dxa"/>
                              <w:start w:w="0pt" w:type="dxa"/>
                              <w:bottom w:w="0pt" w:type="dxa"/>
                              <w:end w:w="0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Header/>
                            <w:tblCellSpacing w:w="0pt" w:type="dxa"/>
                          </w:trPr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Exchange:Ticker 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Exchange 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Security Type 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Security Description 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>Last Price ($)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Last Time 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>Date (MM/dd/yyyy)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Currency 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>52 Week High ($)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>52 Week Low ($)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>Average Daily Volume (Current|3M) (actual)</w:t>
                              </w:r>
                            </w:p>
                          </w:tc>
                          <w:tc>
                            <w:tcPr>
                              <w:tcW w:w="8%" w:type="pct"/>
                              <w:shd w:val="clear" w:color="auto" w:fill="CCCCCC"/>
                              <w:noWrap w:val="0"/>
                              <w:tcMar>
                                <w:top w:w="1.5pt" w:type="dxa"/>
                                <w:start w:w="1.5pt" w:type="dxa"/>
                                <w:bottom w:w="1.5pt" w:type="dxa"/>
                                <w:end w:w="1.5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STATUS </w:t>
                              </w: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pt" w:type="dxa"/>
                              <w:start w:w="0pt" w:type="dxa"/>
                              <w:bottom w:w="0pt" w:type="dxa"/>
                              <w:end w:w="0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/>
                                  <w:bCs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BMV:BIMBO A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Bolsa Mexicana de Valores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Common Stock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Series A Shares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55.41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3:59:59 PM ET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10/06/2026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MXN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68.67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53.03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2122250.00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8F8F8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Active</w:t>
                              </w: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pt" w:type="dxa"/>
                              <w:start w:w="0pt" w:type="dxa"/>
                              <w:bottom w:w="0pt" w:type="dxa"/>
                              <w:end w:w="0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DB:4GM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Deutsche Boerse AG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Common Stock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Series A Shares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53.84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2:16:43 AM ET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10/06/2026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EUR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66.80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51.82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33.00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Active</w:t>
                              </w: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pt" w:type="dxa"/>
                              <w:start w:w="0pt" w:type="dxa"/>
                              <w:bottom w:w="0pt" w:type="dxa"/>
                              <w:end w:w="0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DB:4GM0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Deutsche Boerse AG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Depositary Receipt (Common Stock)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American Depositary Receipts Series A Shares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214.56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2:06:00 AM ET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10/06/2026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EUR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271.23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206.46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0.00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8F8F8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Active</w:t>
                              </w: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pt" w:type="dxa"/>
                              <w:start w:w="0pt" w:type="dxa"/>
                              <w:bottom w:w="0pt" w:type="dxa"/>
                              <w:end w:w="0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OTCQX:BMBO.Y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OTCQX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Depositary Receipt (Common Stock)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American Depositary Receipts Series A Shares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215.26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12:43:22 PM ET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10/01/2026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USD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284.26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214.54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840.00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Active</w:t>
                              </w:r>
                            </w:p>
                          </w:tc>
                        </w:tr>
                        <w:tr>
                          <w:tblPrEx>
                            <w:tblW w:w="100%" w:type="pct"/>
                            <w:tblCellSpacing w:w="0pt" w:type="dxa"/>
                            <w:tblCellMar>
                              <w:top w:w="0pt" w:type="dxa"/>
                              <w:start w:w="0pt" w:type="dxa"/>
                              <w:bottom w:w="0pt" w:type="dxa"/>
                              <w:end w:w="0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CellSpacing w:w="0pt" w:type="dxa"/>
                          </w:trPr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OTCQX:GRBM.F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OTCQX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Common Stock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Series A Shares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56.78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10:24:08 AM ET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09/29/2026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USD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71.87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end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53.19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9F9F9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616.00</w:t>
                              </w:r>
                            </w:p>
                          </w:tc>
                          <w:tc>
                            <w:tcPr>
                              <w:tcW w:w="8%" w:type="pct"/>
                              <w:tcBorders>
                                <w:bottom w:val="single" w:sz="6" w:space="0" w:color="E3E3E3"/>
                              </w:tcBorders>
                              <w:shd w:val="clear" w:color="auto" w:fill="F8F8F8"/>
                              <w:noWrap w:val="0"/>
                              <w:tcMar>
                                <w:top w:w="3.75pt" w:type="dxa"/>
                                <w:start w:w="3pt" w:type="dxa"/>
                                <w:bottom w:w="4.1pt" w:type="dxa"/>
                                <w:end w:w="3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  <w:szCs w:val="18"/>
                                </w:rPr>
                                <w:t>Active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Spacing w:w="0pt" w:type="dxa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CellSpacing w:w="0pt" w:type="dxa"/>
                    </w:trPr>
                    <w:tc>
                      <w:tcPr>
                        <w:tcW w:w="100%" w:type="pct"/>
                        <w:noWrap w:val="0"/>
                        <w:tcMar>
                          <w:top w:w="0.75pt" w:type="dxa"/>
                          <w:start w:w="0.75pt" w:type="dxa"/>
                          <w:bottom w:w="0.75pt" w:type="dxa"/>
                          <w:end w:w="0.75pt" w:type="dxa"/>
                        </w:tcMar>
                        <w:vAlign w:val="center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tcW w:w="100%" w:type="pct"/>
                  <w:noWrap w:val="0"/>
                  <w:tcMar>
                    <w:top w:w="0.75pt" w:type="dxa"/>
                    <w:start w:w="0.75pt" w:type="dxa"/>
                    <w:bottom w:w="0.75pt" w:type="dxa"/>
                    <w:end w:w="0.7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</w:tr>
            <w:tr>
              <w:tblPrEx>
                <w:tblW w:w="100%" w:type="pct"/>
                <w:tblCellSpacing w:w="0pt" w:type="dxa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CellSpacing w:w="0pt" w:type="dxa"/>
              </w:trPr>
              <w:tc>
                <w:tcPr>
                  <w:tcW w:w="100%" w:type="pct"/>
                  <w:noWrap w:val="0"/>
                  <w:tcMar>
                    <w:top w:w="0.75pt" w:type="dxa"/>
                    <w:start w:w="0.75pt" w:type="dxa"/>
                    <w:bottom w:w="0.75pt" w:type="dxa"/>
                    <w:end w:w="0.7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  <w:t>Note: The primary listing as selected by S&amp;P Global Market Intelligence is displayed in bold.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  <w:szCs w:val="18"/>
              </w:rPr>
            </w:pPr>
          </w:p>
        </w:tc>
      </w:tr>
    </w:tbl>
    <w:p>
      <w:pPr>
        <w:spacing w:after="150"/>
        <w:ind w:start="75" w:end="75"/>
        <w:rPr>
          <w:sz w:val="22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825"/>
      <w:gridCol w:w="815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05438839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8"/>
              <w:szCs w:val="18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  <w:t>Grupo Bimbo, S.A.B. de C.V. | Equity Listings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73"/>
      <w:gridCol w:w="66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5187967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6"/>
              <w:szCs w:val="18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  <w:t>Grupo Bimbo, S.A.B. de C.V. | Equity Listings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8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table" w:customStyle="1" w:styleId="StyleTable">
    <w:name w:val="StyleTable"/>
    <w:basedOn w:val="TableNormal"/>
    <w:tblPr/>
  </w:style>
  <w:style w:type="table" w:customStyle="1" w:styleId="StyleTableWithBorder">
    <w:name w:val="StyleTableWithBorder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