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white"/>
        </w:rPr>
      </w:pPr>
      <w:r w:rsidDel="00000000" w:rsidR="00000000" w:rsidRPr="00000000">
        <w:rPr>
          <w:rtl w:val="0"/>
        </w:rPr>
      </w:r>
    </w:p>
    <w:p w:rsidR="00000000" w:rsidDel="00000000" w:rsidP="00000000" w:rsidRDefault="00000000" w:rsidRPr="00000000" w14:paraId="00000002">
      <w:pPr>
        <w:jc w:val="center"/>
        <w:rPr>
          <w:b w:val="1"/>
          <w:bCs w:val="1"/>
          <w:highlight w:val="white"/>
        </w:rPr>
      </w:pPr>
      <w:r w:rsidDel="00000000" w:rsidR="00000000" w:rsidRPr="00000000">
        <w:rPr>
          <w:b w:val="1"/>
          <w:bCs w:val="1"/>
          <w:highlight w:val="white"/>
          <w:rtl w:val="0"/>
        </w:rPr>
        <w:t xml:space="preserve">PONTIFICIA‌ ‌UNIVERSIDAD‌ ‌</w:t>
        <w:br w:type="textWrapping"/>
        <w:t xml:space="preserve">CATÓLICA‌ ‌DEL‌ ‌PERÚ</w:t>
      </w:r>
    </w:p>
    <w:p w:rsidR="00000000" w:rsidDel="00000000" w:rsidP="00000000" w:rsidRDefault="00000000" w:rsidRPr="00000000" w14:paraId="00000003">
      <w:pP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4">
      <w:pPr>
        <w:shd w:fill="ffffff" w:val="clear"/>
        <w:jc w:val="center"/>
        <w:rPr>
          <w:b w:val="1"/>
          <w:bCs w:val="1"/>
          <w:highlight w:val="white"/>
        </w:rPr>
      </w:pPr>
      <w:r w:rsidDel="00000000" w:rsidR="00000000" w:rsidRPr="00000000">
        <w:rPr>
          <w:b w:val="1"/>
          <w:bCs w:val="1"/>
          <w:highlight w:val="white"/>
          <w:rtl w:val="0"/>
        </w:rPr>
        <w:t xml:space="preserve">FACULTAD DE CIENCIAS SOCIALES</w:t>
      </w:r>
    </w:p>
    <w:p w:rsidR="00000000" w:rsidDel="00000000" w:rsidP="00000000" w:rsidRDefault="00000000" w:rsidRPr="00000000" w14:paraId="00000005">
      <w:pP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6">
      <w:pP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7">
      <w:pPr>
        <w:shd w:fill="ffffff" w:val="clear"/>
        <w:spacing w:line="360" w:lineRule="auto"/>
        <w:jc w:val="center"/>
        <w:rPr>
          <w:b w:val="1"/>
          <w:bCs w:val="1"/>
          <w:highlight w:val="white"/>
        </w:rPr>
      </w:pPr>
      <w:r w:rsidDel="00000000" w:rsidR="00000000" w:rsidRPr="00000000">
        <w:rPr>
          <w:b w:val="1"/>
          <w:bCs w:val="1"/>
        </w:rPr>
        <w:drawing>
          <wp:inline distB="0" distT="0" distL="0" distR="0">
            <wp:extent cx="2155464" cy="2160000"/>
            <wp:effectExtent b="0" l="0" r="0" t="0"/>
            <wp:docPr descr="Logotipo&#10;&#10;Descripción generada automáticamente" id="6" name="image1.jpg"/>
            <a:graphic>
              <a:graphicData uri="http://schemas.openxmlformats.org/drawingml/2006/picture">
                <pic:pic>
                  <pic:nvPicPr>
                    <pic:cNvPr descr="Logotipo&#10;&#10;Descripción generada automáticamente" id="0" name="image1.jpg"/>
                    <pic:cNvPicPr preferRelativeResize="0"/>
                  </pic:nvPicPr>
                  <pic:blipFill>
                    <a:blip r:embed="rId7"/>
                    <a:srcRect b="0" l="0" r="0" t="0"/>
                    <a:stretch>
                      <a:fillRect/>
                    </a:stretch>
                  </pic:blipFill>
                  <pic:spPr>
                    <a:xfrm>
                      <a:off x="0" y="0"/>
                      <a:ext cx="2155464"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line="360" w:lineRule="auto"/>
        <w:ind w:firstLine="720"/>
        <w:rPr>
          <w:b w:val="1"/>
          <w:bCs w:val="1"/>
          <w:highlight w:val="white"/>
        </w:rPr>
      </w:pPr>
      <w:r w:rsidDel="00000000" w:rsidR="00000000" w:rsidRPr="00000000">
        <w:rPr>
          <w:b w:val="1"/>
          <w:bCs w:val="1"/>
          <w:highlight w:val="white"/>
          <w:rtl w:val="0"/>
        </w:rPr>
        <w:t xml:space="preserve"> ‌ </w:t>
      </w:r>
    </w:p>
    <w:p w:rsidR="00000000" w:rsidDel="00000000" w:rsidP="00000000" w:rsidRDefault="00000000" w:rsidRPr="00000000" w14:paraId="00000009">
      <w:pPr>
        <w:jc w:val="center"/>
        <w:rPr/>
      </w:pPr>
      <w:r w:rsidDel="00000000" w:rsidR="00000000" w:rsidRPr="00000000">
        <w:rPr>
          <w:rtl w:val="0"/>
        </w:rPr>
        <w:t xml:space="preserve">Impacto del canon minero y la corrupción sobre el crecimiento regional: un análisis econométrico de ecuaciones simultáneas para Perú (2004-2024)</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shd w:fill="ffffff" w:val="clear"/>
        <w:spacing w:line="360" w:lineRule="auto"/>
        <w:jc w:val="center"/>
        <w:rPr>
          <w:highlight w:val="white"/>
        </w:rPr>
      </w:pPr>
      <w:r w:rsidDel="00000000" w:rsidR="00000000" w:rsidRPr="00000000">
        <w:rPr>
          <w:rtl w:val="0"/>
        </w:rPr>
      </w:r>
    </w:p>
    <w:p w:rsidR="00000000" w:rsidDel="00000000" w:rsidP="00000000" w:rsidRDefault="00000000" w:rsidRPr="00000000" w14:paraId="0000000C">
      <w:pPr>
        <w:shd w:fill="ffffff" w:val="clear"/>
        <w:spacing w:line="360" w:lineRule="auto"/>
        <w:jc w:val="center"/>
        <w:rPr>
          <w:highlight w:val="white"/>
        </w:rPr>
      </w:pPr>
      <w:r w:rsidDel="00000000" w:rsidR="00000000" w:rsidRPr="00000000">
        <w:rPr>
          <w:highlight w:val="white"/>
          <w:rtl w:val="0"/>
        </w:rPr>
        <w:t xml:space="preserve">Puicón Nolasco, Luis Enrique</w:t>
      </w:r>
    </w:p>
    <w:p w:rsidR="00000000" w:rsidDel="00000000" w:rsidP="00000000" w:rsidRDefault="00000000" w:rsidRPr="00000000" w14:paraId="0000000D">
      <w:pPr>
        <w:jc w:val="center"/>
        <w:rPr>
          <w:highlight w:val="white"/>
        </w:rPr>
      </w:pPr>
      <w:r w:rsidDel="00000000" w:rsidR="00000000" w:rsidRPr="00000000">
        <w:rPr>
          <w:highlight w:val="white"/>
          <w:rtl w:val="0"/>
        </w:rPr>
        <w:t xml:space="preserve">‌</w:t>
      </w:r>
    </w:p>
    <w:p w:rsidR="00000000" w:rsidDel="00000000" w:rsidP="00000000" w:rsidRDefault="00000000" w:rsidRPr="00000000" w14:paraId="0000000E">
      <w:pPr>
        <w:jc w:val="center"/>
        <w:rPr>
          <w:highlight w:val="white"/>
        </w:rPr>
      </w:pPr>
      <w:r w:rsidDel="00000000" w:rsidR="00000000" w:rsidRPr="00000000">
        <w:rPr>
          <w:rtl w:val="0"/>
        </w:rPr>
      </w:r>
    </w:p>
    <w:p w:rsidR="00000000" w:rsidDel="00000000" w:rsidP="00000000" w:rsidRDefault="00000000" w:rsidRPr="00000000" w14:paraId="0000000F">
      <w:pPr>
        <w:jc w:val="center"/>
        <w:rPr>
          <w:highlight w:val="white"/>
        </w:rPr>
      </w:pPr>
      <w:r w:rsidDel="00000000" w:rsidR="00000000" w:rsidRPr="00000000">
        <w:rPr>
          <w:highlight w:val="white"/>
          <w:rtl w:val="0"/>
        </w:rPr>
        <w:t xml:space="preserve"> ‌</w:t>
      </w:r>
    </w:p>
    <w:p w:rsidR="00000000" w:rsidDel="00000000" w:rsidP="00000000" w:rsidRDefault="00000000" w:rsidRPr="00000000" w14:paraId="00000010">
      <w:pPr>
        <w:shd w:fill="ffffff" w:val="clear"/>
        <w:spacing w:line="360" w:lineRule="auto"/>
        <w:jc w:val="center"/>
        <w:rPr>
          <w:highlight w:val="white"/>
        </w:rPr>
      </w:pPr>
      <w:r w:rsidDel="00000000" w:rsidR="00000000" w:rsidRPr="00000000">
        <w:rPr>
          <w:highlight w:val="white"/>
          <w:rtl w:val="0"/>
        </w:rPr>
        <w:t xml:space="preserve">Curso</w:t>
      </w:r>
    </w:p>
    <w:p w:rsidR="00000000" w:rsidDel="00000000" w:rsidP="00000000" w:rsidRDefault="00000000" w:rsidRPr="00000000" w14:paraId="00000011">
      <w:pPr>
        <w:shd w:fill="ffffff" w:val="clear"/>
        <w:spacing w:line="360" w:lineRule="auto"/>
        <w:jc w:val="center"/>
        <w:rPr>
          <w:highlight w:val="white"/>
        </w:rPr>
      </w:pPr>
      <w:r w:rsidDel="00000000" w:rsidR="00000000" w:rsidRPr="00000000">
        <w:rPr>
          <w:highlight w:val="white"/>
          <w:rtl w:val="0"/>
        </w:rPr>
        <w:t xml:space="preserve">Seminario de Investigación</w:t>
      </w:r>
    </w:p>
    <w:p w:rsidR="00000000" w:rsidDel="00000000" w:rsidP="00000000" w:rsidRDefault="00000000" w:rsidRPr="00000000" w14:paraId="00000012">
      <w:pPr>
        <w:shd w:fill="ffffff" w:val="clear"/>
        <w:spacing w:line="360" w:lineRule="auto"/>
        <w:jc w:val="center"/>
        <w:rPr>
          <w:highlight w:val="white"/>
        </w:rPr>
      </w:pPr>
      <w:r w:rsidDel="00000000" w:rsidR="00000000" w:rsidRPr="00000000">
        <w:rPr>
          <w:rtl w:val="0"/>
        </w:rPr>
      </w:r>
    </w:p>
    <w:p w:rsidR="00000000" w:rsidDel="00000000" w:rsidP="00000000" w:rsidRDefault="00000000" w:rsidRPr="00000000" w14:paraId="00000013">
      <w:pPr>
        <w:shd w:fill="ffffff" w:val="clear"/>
        <w:spacing w:line="360" w:lineRule="auto"/>
        <w:jc w:val="center"/>
        <w:rPr>
          <w:highlight w:val="white"/>
        </w:rPr>
      </w:pPr>
      <w:r w:rsidDel="00000000" w:rsidR="00000000" w:rsidRPr="00000000">
        <w:rPr>
          <w:highlight w:val="white"/>
          <w:rtl w:val="0"/>
        </w:rPr>
        <w:t xml:space="preserve">Docentes</w:t>
      </w:r>
    </w:p>
    <w:p w:rsidR="00000000" w:rsidDel="00000000" w:rsidP="00000000" w:rsidRDefault="00000000" w:rsidRPr="00000000" w14:paraId="00000014">
      <w:pPr>
        <w:shd w:fill="ffffff" w:val="clear"/>
        <w:spacing w:line="360" w:lineRule="auto"/>
        <w:jc w:val="center"/>
        <w:rPr>
          <w:highlight w:val="white"/>
        </w:rPr>
      </w:pPr>
      <w:r w:rsidDel="00000000" w:rsidR="00000000" w:rsidRPr="00000000">
        <w:rPr>
          <w:highlight w:val="white"/>
          <w:rtl w:val="0"/>
        </w:rPr>
        <w:t xml:space="preserve">José Carlos Orihuela</w:t>
      </w:r>
    </w:p>
    <w:p w:rsidR="00000000" w:rsidDel="00000000" w:rsidP="00000000" w:rsidRDefault="00000000" w:rsidRPr="00000000" w14:paraId="00000015">
      <w:pPr>
        <w:shd w:fill="ffffff" w:val="clear"/>
        <w:spacing w:line="360" w:lineRule="auto"/>
        <w:jc w:val="center"/>
        <w:rPr>
          <w:highlight w:val="white"/>
        </w:rPr>
      </w:pPr>
      <w:r w:rsidDel="00000000" w:rsidR="00000000" w:rsidRPr="00000000">
        <w:rPr>
          <w:highlight w:val="white"/>
          <w:rtl w:val="0"/>
        </w:rPr>
        <w:t xml:space="preserve">Cesar Contreras</w:t>
      </w:r>
    </w:p>
    <w:p w:rsidR="00000000" w:rsidDel="00000000" w:rsidP="00000000" w:rsidRDefault="00000000" w:rsidRPr="00000000" w14:paraId="00000016">
      <w:pPr>
        <w:shd w:fill="ffffff" w:val="clear"/>
        <w:spacing w:line="360" w:lineRule="auto"/>
        <w:ind w:left="708" w:hanging="708"/>
        <w:jc w:val="center"/>
        <w:rPr>
          <w:highlight w:val="white"/>
        </w:rPr>
      </w:pPr>
      <w:r w:rsidDel="00000000" w:rsidR="00000000" w:rsidRPr="00000000">
        <w:rPr>
          <w:rtl w:val="0"/>
        </w:rPr>
      </w:r>
    </w:p>
    <w:p w:rsidR="00000000" w:rsidDel="00000000" w:rsidP="00000000" w:rsidRDefault="00000000" w:rsidRPr="00000000" w14:paraId="00000017">
      <w:pPr>
        <w:shd w:fill="ffffff" w:val="clear"/>
        <w:spacing w:line="360" w:lineRule="auto"/>
        <w:jc w:val="center"/>
        <w:rPr>
          <w:highlight w:val="white"/>
        </w:rPr>
      </w:pPr>
      <w:r w:rsidDel="00000000" w:rsidR="00000000" w:rsidRPr="00000000">
        <w:rPr>
          <w:highlight w:val="white"/>
          <w:rtl w:val="0"/>
        </w:rPr>
        <w:t xml:space="preserve">Jefa de prácticas</w:t>
      </w:r>
    </w:p>
    <w:p w:rsidR="00000000" w:rsidDel="00000000" w:rsidP="00000000" w:rsidRDefault="00000000" w:rsidRPr="00000000" w14:paraId="00000018">
      <w:pPr>
        <w:shd w:fill="ffffff" w:val="clear"/>
        <w:spacing w:line="360" w:lineRule="auto"/>
        <w:jc w:val="center"/>
        <w:rPr>
          <w:highlight w:val="white"/>
        </w:rPr>
      </w:pPr>
      <w:r w:rsidDel="00000000" w:rsidR="00000000" w:rsidRPr="00000000">
        <w:rPr>
          <w:highlight w:val="white"/>
          <w:rtl w:val="0"/>
        </w:rPr>
        <w:t xml:space="preserve">Yasmeen Destre</w:t>
      </w:r>
    </w:p>
    <w:p w:rsidR="00000000" w:rsidDel="00000000" w:rsidP="00000000" w:rsidRDefault="00000000" w:rsidRPr="00000000" w14:paraId="00000019">
      <w:pPr>
        <w:shd w:fill="ffffff" w:val="clear"/>
        <w:spacing w:line="360" w:lineRule="auto"/>
        <w:jc w:val="center"/>
        <w:rPr>
          <w:highlight w:val="white"/>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highlight w:val="white"/>
          <w:rtl w:val="0"/>
        </w:rPr>
        <w:t xml:space="preserve">Lima, </w:t>
      </w:r>
      <w:r w:rsidDel="00000000" w:rsidR="00000000" w:rsidRPr="00000000">
        <w:rPr>
          <w:rtl w:val="0"/>
        </w:rPr>
        <w:t xml:space="preserve">2025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Resumen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 canon minero constituye una de las principales fuentes de financiamiento para los gobiernos regionales del Perú, con el objetivo de reducir brechas territoriales mediante inversión pública. Estudios previos muestran que las transferencias extractivas pueden dinamizar economías locales (Huancas et al., 2022; Alvarado et al., 2022), pero su impacto depende de la eficiencia del gasto, la capacidad de gestión y la ausencia de corrupción (Sanguinetti, 2010; Sena, 2019). Asimismo, los ciclos de precios internacionales generan presiones fiscales y políticas que amplifican vulnerabilidades institucionales (Byrne y Sakemoto, 2022; Mendoza y Anastacio, 2021), mientras que booms extractivos pueden incrementar riesgos de corrupción subnacional (Arias, 2025). Esta investigación examina el uso del canon en las regiones peruanas entre 2004 y 2024, considerando cómo la calidad institucional condiciona su capacidad para promover desarrollo. Utilizando datos del MEF-SIAF, INEI, ENAHO, Contraloría y del Banco Mundial, propongo un modelo de ecuaciones simultáneas para capturar la relación bidireccional entre canon, corrupción y crecimiento económico regional. </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Palabras clave: canon minero, corrupción, desarrollo regional, finanzas públicas, ecuaciones simultáneas.</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widowControl w:val="1"/>
        <w:spacing w:after="160" w:line="259" w:lineRule="auto"/>
        <w:jc w:val="left"/>
        <w:rPr/>
      </w:pPr>
      <w:r w:rsidDel="00000000" w:rsidR="00000000" w:rsidRPr="00000000">
        <w:rPr>
          <w:rtl w:val="0"/>
        </w:rPr>
      </w:r>
    </w:p>
    <w:p w:rsidR="00000000" w:rsidDel="00000000" w:rsidP="00000000" w:rsidRDefault="00000000" w:rsidRPr="00000000" w14:paraId="00000037">
      <w:pPr>
        <w:widowControl w:val="1"/>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1"/>
        <w:spacing w:after="160" w:line="259" w:lineRule="auto"/>
        <w:rPr/>
      </w:pPr>
      <w:r w:rsidDel="00000000" w:rsidR="00000000" w:rsidRPr="00000000">
        <w:rPr>
          <w:rtl w:val="0"/>
        </w:rPr>
        <w:t xml:space="preserve">El canon minero es una de las principales fuentes de financiamiento para los gobiernos regionales del Perú. Desde su reforma en 2004, debido a la Ley N° 28077 que busca mejorar la distribución de los recursos del impuesto a la renta de la minería hacia los gobiernos regionales y locales estableciendo porcentajes (2004), el Estado ha transferido más de 34 mil millones de soles por este concepto hasta el año 2019 (Congreso de la República del Perú, 2019), con el objetivo de impulsar el desarrollo regional a través de proyectos de inversión pública. Sin embargo, el desempeño económico de las regiones ha sido desigual. Mientras Moquegua y Arequipa presentan algunos de los PBI per cápita más altos del país, otras regiones igualmente beneficiadas por el canon, como Áncash, Cusco o Puno, mantienen elevados niveles de pobreza y baja ejecución de proyectos (INEI, 2024). Estas diferencias revelan que la sola disponibilidad de recursos no garantiza un proceso sostenido de crecimiento económico regional.</w:t>
      </w:r>
    </w:p>
    <w:p w:rsidR="00000000" w:rsidDel="00000000" w:rsidP="00000000" w:rsidRDefault="00000000" w:rsidRPr="00000000" w14:paraId="0000003B">
      <w:pPr>
        <w:widowControl w:val="1"/>
        <w:spacing w:after="160" w:line="259" w:lineRule="auto"/>
        <w:rPr/>
      </w:pPr>
      <w:r w:rsidDel="00000000" w:rsidR="00000000" w:rsidRPr="00000000">
        <w:rPr>
          <w:rtl w:val="0"/>
        </w:rPr>
        <w:t xml:space="preserve">A esta problemática se suma la persistencia de la corrupción. Según la Contraloría, en 2023 se perdieron más de 24 mil millones de soles por corrupción e inconducta funcional, equivalentes al 12% del presupuesto público nacional (2024). La ENAHO muestra que más del 50% de ciudadanos afirma haber presenciado actos corruptos en su región (INEI, 2024). La literatura destaca que los ingresos extraordinarios de la minería pueden amplificar incentivos para la captura política, el desvío de fondos y la reducción de la eficiencia del gasto (Ahmad et al., 2012; Távara, 2012). Esto es especialmente relevante en regiones altamente dependientes del canon, donde la institucionalidad es limitada y los controles son insuficientes.</w:t>
      </w:r>
    </w:p>
    <w:p w:rsidR="00000000" w:rsidDel="00000000" w:rsidP="00000000" w:rsidRDefault="00000000" w:rsidRPr="00000000" w14:paraId="0000003C">
      <w:pPr>
        <w:widowControl w:val="1"/>
        <w:spacing w:after="160" w:line="259" w:lineRule="auto"/>
        <w:rPr/>
      </w:pPr>
      <w:r w:rsidDel="00000000" w:rsidR="00000000" w:rsidRPr="00000000">
        <w:rPr>
          <w:rtl w:val="0"/>
        </w:rPr>
        <w:t xml:space="preserve">El Perú es, además, una economía profundamente minera. Según el Ministerio de Energía y Minas (MINEM), este país es uno de los principales productores globales de cobre, oro, zinc y plata (RPP, 2025). En 2022, la minería representó el 60% de las exportaciones y alrededor del 14% del PBI nacional (BCRP, 2023). Sin embargo, los ingresos que esta actividad genera están sujetos a la volatilidad de los precios internacionales. Investigaciones como Byrne y Sakemoto (2022) y Sen et al. (2024) demuestran que los ciclos de precios de los commodities afectan la recaudación fiscal y la disponibilidad del canon en las regiones, lo que introduce inestabilidad en la ejecución del gasto público.</w:t>
      </w:r>
    </w:p>
    <w:p w:rsidR="00000000" w:rsidDel="00000000" w:rsidP="00000000" w:rsidRDefault="00000000" w:rsidRPr="00000000" w14:paraId="0000003D">
      <w:pPr>
        <w:widowControl w:val="1"/>
        <w:spacing w:after="160" w:line="259" w:lineRule="auto"/>
        <w:rPr/>
      </w:pPr>
      <w:r w:rsidDel="00000000" w:rsidR="00000000" w:rsidRPr="00000000">
        <w:rPr>
          <w:rtl w:val="0"/>
        </w:rPr>
        <w:t xml:space="preserve">En este contexto, comprender cómo interactúan el canon minero ejecutado, la corrupción institucional y el desarrollo económico regional resulta indispensable. Estudios previos, como los de Huancas et al. (2022) y Alvarado et al. (2022), sugieren que el canon puede promover el desarrollo económico y social, pero también muestran que sus efectos dependen de la capacidad institucional de los gobiernos subnacionales (Sanguinetti, 2010; Sena, 2019). A su vez, análisis históricos de la gobernanza fiscal peruana evidencian debilidades estructurales que condicionan la eficiencia del gasto público (Arias, 2025; Mendoza y Anastacio, 2021).</w:t>
      </w:r>
    </w:p>
    <w:p w:rsidR="00000000" w:rsidDel="00000000" w:rsidP="00000000" w:rsidRDefault="00000000" w:rsidRPr="00000000" w14:paraId="0000003E">
      <w:pPr>
        <w:widowControl w:val="1"/>
        <w:spacing w:after="160" w:line="259" w:lineRule="auto"/>
        <w:rPr/>
      </w:pPr>
      <w:r w:rsidDel="00000000" w:rsidR="00000000" w:rsidRPr="00000000">
        <w:rPr>
          <w:rtl w:val="0"/>
        </w:rPr>
      </w:r>
    </w:p>
    <w:p w:rsidR="00000000" w:rsidDel="00000000" w:rsidP="00000000" w:rsidRDefault="00000000" w:rsidRPr="00000000" w14:paraId="0000003F">
      <w:pPr>
        <w:widowControl w:val="1"/>
        <w:spacing w:after="160" w:line="259" w:lineRule="auto"/>
        <w:rPr/>
      </w:pPr>
      <w:r w:rsidDel="00000000" w:rsidR="00000000" w:rsidRPr="00000000">
        <w:rPr>
          <w:rtl w:val="0"/>
        </w:rPr>
        <w:t xml:space="preserve">El propósito de esta investigación es analizar el impacto del canon minero ejecutado y la corrupción percibida sobre el crecimiento económico regional del Perú durante el periodo 2004-2024. Para ello, se construye una base de datos panel regional con información del MEF-SIAF (canon e inversión pública), INEI (PBI regional, pobreza), ENAHO (percepción de corrupción), Contraloría (casos de inconducta por peculado) y Banco Mundial (precios internacionales de los minerales). Dado que estas variables pueden influirse mutuamente, se emplea un modelo de ecuaciones simultáneas, metodología que permite identificar relaciones estructurales y corregir problemas de endogeneidad.</w:t>
      </w:r>
    </w:p>
    <w:p w:rsidR="00000000" w:rsidDel="00000000" w:rsidP="00000000" w:rsidRDefault="00000000" w:rsidRPr="00000000" w14:paraId="00000040">
      <w:pPr>
        <w:widowControl w:val="1"/>
        <w:spacing w:after="160" w:line="259" w:lineRule="auto"/>
        <w:rPr/>
      </w:pPr>
      <w:r w:rsidDel="00000000" w:rsidR="00000000" w:rsidRPr="00000000">
        <w:rPr>
          <w:rtl w:val="0"/>
        </w:rPr>
        <w:t xml:space="preserve">La pertinencia de esta investigación radica en su contribución al entendimiento de tres desafíos clave: desigualdad territorial, debilidad institucional y dependencia extractiva. Además, introduce una metodología poco utilizada en estudios subnacionales y ofrece evidencia empírica relevante para el diseño de políticas de transparencia, asignación del canon y fortalecimiento de la gobernanza regional.</w:t>
      </w:r>
    </w:p>
    <w:p w:rsidR="00000000" w:rsidDel="00000000" w:rsidP="00000000" w:rsidRDefault="00000000" w:rsidRPr="00000000" w14:paraId="00000041">
      <w:pPr>
        <w:widowControl w:val="1"/>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2">
      <w:pPr>
        <w:widowControl w:val="1"/>
        <w:spacing w:after="160" w:line="259" w:lineRule="auto"/>
        <w:jc w:val="center"/>
        <w:rPr>
          <w:b w:val="1"/>
          <w:bCs w:val="1"/>
        </w:rPr>
      </w:pPr>
      <w:r w:rsidDel="00000000" w:rsidR="00000000" w:rsidRPr="00000000">
        <w:rPr>
          <w:b w:val="1"/>
          <w:bCs w:val="1"/>
          <w:rtl w:val="0"/>
        </w:rPr>
        <w:t xml:space="preserve">Revisión de literatura</w:t>
      </w:r>
    </w:p>
    <w:p w:rsidR="00000000" w:rsidDel="00000000" w:rsidP="00000000" w:rsidRDefault="00000000" w:rsidRPr="00000000" w14:paraId="00000043">
      <w:pPr>
        <w:widowControl w:val="1"/>
        <w:spacing w:after="160" w:line="259" w:lineRule="auto"/>
        <w:rPr/>
      </w:pPr>
      <w:r w:rsidDel="00000000" w:rsidR="00000000" w:rsidRPr="00000000">
        <w:rPr>
          <w:rtl w:val="0"/>
        </w:rPr>
        <w:t xml:space="preserve">La literatura sobre el canon minero y el desarrollo regional en el Perú ha abordado distintas dimensiones del fenómeno extractivo, desde los efectos económicos de la minería hasta la vulnerabilidad fiscal asociada a los ciclos de los commodities y las limitaciones institucionales que condicionan la eficiencia del gasto público. Sin embargo, estos estudios suelen analizar dichas dimensiones por separado. La presente revisión sintetiza los aportes principales de la literatura económica agrupándolos en ejes sobre la trayectoria macrofiscal de la recaudación minera, las implicancias de la extracción en el desarrollo regional, la dependencia del país frente a los precios internacionales de los minerales y el papel de la corrupción en la ejecución del canon.</w:t>
      </w:r>
    </w:p>
    <w:p w:rsidR="00000000" w:rsidDel="00000000" w:rsidP="00000000" w:rsidRDefault="00000000" w:rsidRPr="00000000" w14:paraId="00000044">
      <w:pPr>
        <w:widowControl w:val="1"/>
        <w:spacing w:after="160" w:line="259" w:lineRule="auto"/>
        <w:rPr>
          <w:i w:val="1"/>
          <w:iCs w:val="1"/>
        </w:rPr>
      </w:pPr>
      <w:r w:rsidDel="00000000" w:rsidR="00000000" w:rsidRPr="00000000">
        <w:rPr>
          <w:i w:val="1"/>
          <w:iCs w:val="1"/>
          <w:rtl w:val="0"/>
        </w:rPr>
        <w:t xml:space="preserve">Recaudación y marco macroeconómico fiscal histórico en torno al canon</w:t>
      </w:r>
    </w:p>
    <w:p w:rsidR="00000000" w:rsidDel="00000000" w:rsidP="00000000" w:rsidRDefault="00000000" w:rsidRPr="00000000" w14:paraId="00000045">
      <w:pPr>
        <w:widowControl w:val="1"/>
        <w:spacing w:after="160" w:line="259" w:lineRule="auto"/>
        <w:rPr/>
      </w:pPr>
      <w:r w:rsidDel="00000000" w:rsidR="00000000" w:rsidRPr="00000000">
        <w:rPr>
          <w:rtl w:val="0"/>
        </w:rPr>
        <w:t xml:space="preserve">Los estudios de historia fiscal peruana permiten comprender el contexto en el cual opera el canon minero. Mendoza y Anastacio (2021) muestran que, desde la década de 1980, la economía peruana ha experimentado ciclos de expansión y contracción asociados al desempeño internacional de los recursos naturales. Según los autores, los auges de ingresos extraordinarios -incluidos los provenientes de la minería- no han logrado convertirse consistentemente en mejoras estructurales, debido a la naturaleza procíclica del gasto y a la ausencia de mecanismos anticíclicos sólidos. Arias (2025) profundiza esta lectura señalando que el sistema fiscal peruano presenta “horizontes fragmentados”, caracterizados por debilidades en gobernanza, planeamiento y articulación intergubernamental. Estas limitaciones han reducido la capacidad del Estado para canalizar los ingresos provenientes del canon hacia proyectos sostenibles. </w:t>
      </w:r>
    </w:p>
    <w:p w:rsidR="00000000" w:rsidDel="00000000" w:rsidP="00000000" w:rsidRDefault="00000000" w:rsidRPr="00000000" w14:paraId="00000046">
      <w:pPr>
        <w:widowControl w:val="1"/>
        <w:spacing w:after="160" w:line="259" w:lineRule="auto"/>
        <w:rPr/>
      </w:pPr>
      <w:r w:rsidDel="00000000" w:rsidR="00000000" w:rsidRPr="00000000">
        <w:rPr>
          <w:rtl w:val="0"/>
        </w:rPr>
        <w:t xml:space="preserve">Campos (2020), desde una perspectiva macrofiscal, advierte que la volatilidad de los ingresos mineros justifica la creación de fondos de estabilización que permitan ahorrar en periodos de bonanza y proteger el gasto público en fases recesivas. Esta idea se vincula con los diagnósticos del Banco Mundial (2021), los cuales señalan que, aunque el Perú ha recibido cifras históricamente elevadas de canon, la estabilidad y previsibilidad del financiamiento regional siguen siendo débiles. En conjunto, estos trabajos coinciden en que las brechas regionales actuales no pueden comprenderse sin atender primero el marco fiscal histórico que organiza la asignación del canon.</w:t>
      </w:r>
    </w:p>
    <w:p w:rsidR="00000000" w:rsidDel="00000000" w:rsidP="00000000" w:rsidRDefault="00000000" w:rsidRPr="00000000" w14:paraId="00000047">
      <w:pPr>
        <w:widowControl w:val="1"/>
        <w:spacing w:after="160" w:line="259" w:lineRule="auto"/>
        <w:rPr>
          <w:i w:val="1"/>
          <w:iCs w:val="1"/>
        </w:rPr>
      </w:pPr>
      <w:r w:rsidDel="00000000" w:rsidR="00000000" w:rsidRPr="00000000">
        <w:rPr>
          <w:i w:val="1"/>
          <w:iCs w:val="1"/>
          <w:rtl w:val="0"/>
        </w:rPr>
        <w:t xml:space="preserve">Implicancias de la extracción minera en el desarrollo económico regional</w:t>
      </w:r>
    </w:p>
    <w:p w:rsidR="00000000" w:rsidDel="00000000" w:rsidP="00000000" w:rsidRDefault="00000000" w:rsidRPr="00000000" w14:paraId="00000048">
      <w:pPr>
        <w:widowControl w:val="1"/>
        <w:spacing w:after="160" w:line="259" w:lineRule="auto"/>
        <w:rPr/>
      </w:pPr>
      <w:r w:rsidDel="00000000" w:rsidR="00000000" w:rsidRPr="00000000">
        <w:rPr>
          <w:rtl w:val="0"/>
        </w:rPr>
        <w:t xml:space="preserve">La literatura empírica sobre el impacto directo del canon en los territorios mineros presenta hallazgos heterogéneos. Huancas, Rondón y Riquelme (2022) encuentran que las transferencias del canon generan aumentos en ingreso familiar y empleo formal, sugiriendo un efecto redistributivo significativo en zonas mineras. De forma similar, Alvarado et al. (2022) sostienen que la minería dinamiza el mercado laboral y los encadenamientos productivos, actuando como motor de crecimiento económico regional. Cruz y Garabito (2025) añaden que el canon contribuye a mejoras en infraestructura, fortaleciendo la provisión de servicios públicos. </w:t>
      </w:r>
    </w:p>
    <w:p w:rsidR="00000000" w:rsidDel="00000000" w:rsidP="00000000" w:rsidRDefault="00000000" w:rsidRPr="00000000" w14:paraId="00000049">
      <w:pPr>
        <w:widowControl w:val="1"/>
        <w:spacing w:after="160" w:line="259" w:lineRule="auto"/>
        <w:rPr/>
      </w:pPr>
      <w:r w:rsidDel="00000000" w:rsidR="00000000" w:rsidRPr="00000000">
        <w:rPr>
          <w:rtl w:val="0"/>
        </w:rPr>
        <w:t xml:space="preserve">Sin embargo, otros estudios matizan estos efectos. Zegarra (2024) observa que las mejoras generadas por la minería suelen ser transitorias, ya que no se traducen en diversificación productiva sostenible. Vargas (2015) y Sena (2019) destacan que las regiones que reciben mayores montos de canon no necesariamente logran mejores indicadores de desarrollo debido a brechas de capacidad técnica y fallas de ejecución. El Banco Mundial (2021) coincide en que el canon tiene potencial transformador, pero que sus resultados dependen de la calidad institucional regional. Estas divergencias exponen una tensión central: mientras algunos autores atribuyen a la minería un rol dinamizador, otros muestran que el desarrollo depende de factores institucionales complementarios.</w:t>
      </w:r>
    </w:p>
    <w:p w:rsidR="00000000" w:rsidDel="00000000" w:rsidP="00000000" w:rsidRDefault="00000000" w:rsidRPr="00000000" w14:paraId="0000004A">
      <w:pPr>
        <w:widowControl w:val="1"/>
        <w:spacing w:after="160" w:line="259" w:lineRule="auto"/>
        <w:rPr>
          <w:i w:val="1"/>
          <w:iCs w:val="1"/>
        </w:rPr>
      </w:pPr>
      <w:r w:rsidDel="00000000" w:rsidR="00000000" w:rsidRPr="00000000">
        <w:rPr>
          <w:i w:val="1"/>
          <w:iCs w:val="1"/>
          <w:rtl w:val="0"/>
        </w:rPr>
        <w:t xml:space="preserve">Dependencia de los precios internacionales de commodities y desempeño territorial</w:t>
      </w:r>
    </w:p>
    <w:p w:rsidR="00000000" w:rsidDel="00000000" w:rsidP="00000000" w:rsidRDefault="00000000" w:rsidRPr="00000000" w14:paraId="0000004B">
      <w:pPr>
        <w:widowControl w:val="1"/>
        <w:spacing w:after="160" w:line="259" w:lineRule="auto"/>
        <w:rPr/>
      </w:pPr>
      <w:r w:rsidDel="00000000" w:rsidR="00000000" w:rsidRPr="00000000">
        <w:rPr>
          <w:rtl w:val="0"/>
        </w:rPr>
        <w:t xml:space="preserve">Dado que las transferencias del canon dependen directamente de las utilidades mineras, la literatura macroeconómica sobre commodities es crucial para entender el desempeño fiscal regional. Şen, Akpolat y Balkan (2024) muestran que los países especializados en recursos naturales enfrentan mayores grados de inestabilidad debido a su exposición a ciclos globales de auge y caída. Byrne y Sakemoto (2022) encuentran que los precios de los commodities tienden a correlacionarse fuertemente en periodos de volatilidad, incrementando simultáneamente los riesgos fiscales de países como el Perú.</w:t>
      </w:r>
    </w:p>
    <w:p w:rsidR="00000000" w:rsidDel="00000000" w:rsidP="00000000" w:rsidRDefault="00000000" w:rsidRPr="00000000" w14:paraId="0000004C">
      <w:pPr>
        <w:widowControl w:val="1"/>
        <w:spacing w:after="160" w:line="259" w:lineRule="auto"/>
        <w:rPr/>
      </w:pPr>
      <w:r w:rsidDel="00000000" w:rsidR="00000000" w:rsidRPr="00000000">
        <w:rPr>
          <w:rtl w:val="0"/>
        </w:rPr>
        <w:t xml:space="preserve">Mendoza y Anastacio (2021) señalan que esta volatilidad ha evitado la consolidación de políticas contracíclicas efectivas, llevando a que regiones con altos ingresos por canon atraviesen fluctuaciones abruptas de gasto. Campos (2020) resalta que esta dependencia exige instrumentos fiscales más robustos para mitigar la incertidumbre.</w:t>
      </w:r>
    </w:p>
    <w:p w:rsidR="00000000" w:rsidDel="00000000" w:rsidP="00000000" w:rsidRDefault="00000000" w:rsidRPr="00000000" w14:paraId="0000004D">
      <w:pPr>
        <w:widowControl w:val="1"/>
        <w:spacing w:after="160" w:line="259" w:lineRule="auto"/>
        <w:rPr/>
      </w:pPr>
      <w:r w:rsidDel="00000000" w:rsidR="00000000" w:rsidRPr="00000000">
        <w:rPr>
          <w:rtl w:val="0"/>
        </w:rPr>
        <w:t xml:space="preserve">En conjunto, la literatura coincide en que la dependencia del canon respecto a los precios internacionales condiciona la estabilidad del desarrollo regional, pero rara vez vincula esta vulnerabilidad con factores como la corrupción o la eficiencia institucional.</w:t>
      </w:r>
    </w:p>
    <w:p w:rsidR="00000000" w:rsidDel="00000000" w:rsidP="00000000" w:rsidRDefault="00000000" w:rsidRPr="00000000" w14:paraId="0000004E">
      <w:pPr>
        <w:widowControl w:val="1"/>
        <w:spacing w:after="160" w:line="259" w:lineRule="auto"/>
        <w:rPr>
          <w:i w:val="1"/>
          <w:iCs w:val="1"/>
        </w:rPr>
      </w:pPr>
      <w:r w:rsidDel="00000000" w:rsidR="00000000" w:rsidRPr="00000000">
        <w:rPr>
          <w:i w:val="1"/>
          <w:iCs w:val="1"/>
          <w:rtl w:val="0"/>
        </w:rPr>
        <w:t xml:space="preserve">Corrupción institucional regional y ejecución del canon </w:t>
      </w:r>
    </w:p>
    <w:p w:rsidR="00000000" w:rsidDel="00000000" w:rsidP="00000000" w:rsidRDefault="00000000" w:rsidRPr="00000000" w14:paraId="0000004F">
      <w:pPr>
        <w:widowControl w:val="1"/>
        <w:spacing w:after="160" w:line="259" w:lineRule="auto"/>
        <w:rPr/>
      </w:pPr>
      <w:r w:rsidDel="00000000" w:rsidR="00000000" w:rsidRPr="00000000">
        <w:rPr>
          <w:rtl w:val="0"/>
        </w:rPr>
        <w:t xml:space="preserve">La literatura sobre corrupción aporta elementos esenciales para comprender por qué el canon produce resultados dispares. Maldonado (2011) demuestra que los municipios que recibieron mayores recursos durante el boom minero también registraron incrementos significativos en comportamientos corruptos. Esta evidencia sugiere que la disponibilidad súbita de fondos, en ausencia de controles efectivos, genera incentivos para malas prácticas. </w:t>
      </w:r>
    </w:p>
    <w:p w:rsidR="00000000" w:rsidDel="00000000" w:rsidP="00000000" w:rsidRDefault="00000000" w:rsidRPr="00000000" w14:paraId="00000050">
      <w:pPr>
        <w:widowControl w:val="1"/>
        <w:spacing w:after="160" w:line="259" w:lineRule="auto"/>
        <w:rPr/>
      </w:pPr>
      <w:r w:rsidDel="00000000" w:rsidR="00000000" w:rsidRPr="00000000">
        <w:rPr>
          <w:rtl w:val="0"/>
        </w:rPr>
        <w:t xml:space="preserve">En el plano teórico, Távara (2012) caracteriza la corrupción peruana como sistémica, afectando especialmente aquellos sectores intensivos en inversión pública. Ahmad, Ullah y Arfeen (2012) documentan a nivel internacional que la corrupción reduce el crecimiento económico al distorsionar la asignación de recursos. Arias (2025) añade que la débil capacidad institucional amplifica dichos efectos, impidiendo que los recursos se traduzcan en mejoras sostenidas. </w:t>
      </w:r>
    </w:p>
    <w:p w:rsidR="00000000" w:rsidDel="00000000" w:rsidP="00000000" w:rsidRDefault="00000000" w:rsidRPr="00000000" w14:paraId="00000051">
      <w:pPr>
        <w:widowControl w:val="1"/>
        <w:spacing w:after="160" w:line="259" w:lineRule="auto"/>
        <w:rPr/>
      </w:pPr>
      <w:r w:rsidDel="00000000" w:rsidR="00000000" w:rsidRPr="00000000">
        <w:rPr>
          <w:rtl w:val="0"/>
        </w:rPr>
        <w:t xml:space="preserve">La literatura coincide en que la corrupción es un determinante crucial de la efectividad del canon, pero aún no ha sido incorporada plenamente en modelos empíricos que analicen el desarrollo regional peruano.</w:t>
      </w:r>
    </w:p>
    <w:p w:rsidR="00000000" w:rsidDel="00000000" w:rsidP="00000000" w:rsidRDefault="00000000" w:rsidRPr="00000000" w14:paraId="00000052">
      <w:pPr>
        <w:widowControl w:val="1"/>
        <w:spacing w:after="160" w:line="259" w:lineRule="auto"/>
        <w:rPr/>
      </w:pPr>
      <w:r w:rsidDel="00000000" w:rsidR="00000000" w:rsidRPr="00000000">
        <w:rPr>
          <w:rtl w:val="0"/>
        </w:rPr>
        <w:t xml:space="preserve">En síntesis, la revisión muestra que las investigaciones previas se concentran principalmente en la relación directa entre canon y desarrollo, reconociendo de manera secundaria que la corrupción y la capacidad institucional afectan estos vínculos. Sin embargo, ninguno de estos estudios incorpora la corrupción como variable independiente central para explicar las diferencias regionales en crecimiento económico ni su interacción con la ejecución del canon. </w:t>
      </w:r>
    </w:p>
    <w:p w:rsidR="00000000" w:rsidDel="00000000" w:rsidP="00000000" w:rsidRDefault="00000000" w:rsidRPr="00000000" w14:paraId="00000053">
      <w:pPr>
        <w:widowControl w:val="1"/>
        <w:spacing w:after="160" w:line="259" w:lineRule="auto"/>
        <w:rPr/>
      </w:pPr>
      <w:r w:rsidDel="00000000" w:rsidR="00000000" w:rsidRPr="00000000">
        <w:rPr>
          <w:rtl w:val="0"/>
        </w:rPr>
        <w:t xml:space="preserve">La presente investigación propone llenar este vacío analizando simultáneamente el canon ejecutado, la corrupción percibida y el desarrollo económico regional en el Perú entre 2004 y 2024. Al integrar estas dimensiones, el estudio ofrece un marco más completo para comprender por qué el canon genera resultados tan heterogéneos en el territorio nacional.</w:t>
      </w:r>
    </w:p>
    <w:p w:rsidR="00000000" w:rsidDel="00000000" w:rsidP="00000000" w:rsidRDefault="00000000" w:rsidRPr="00000000" w14:paraId="00000054">
      <w:pPr>
        <w:widowControl w:val="1"/>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1"/>
        <w:spacing w:after="160" w:line="259" w:lineRule="auto"/>
        <w:jc w:val="center"/>
        <w:rPr/>
      </w:pPr>
      <w:r w:rsidDel="00000000" w:rsidR="00000000" w:rsidRPr="00000000">
        <w:rPr>
          <w:b w:val="1"/>
          <w:bCs w:val="1"/>
          <w:rtl w:val="0"/>
        </w:rPr>
        <w:t xml:space="preserve">Metodología</w:t>
      </w:r>
      <w:r w:rsidDel="00000000" w:rsidR="00000000" w:rsidRPr="00000000">
        <w:rPr>
          <w:rtl w:val="0"/>
        </w:rPr>
      </w:r>
    </w:p>
    <w:p w:rsidR="00000000" w:rsidDel="00000000" w:rsidP="00000000" w:rsidRDefault="00000000" w:rsidRPr="00000000" w14:paraId="00000056">
      <w:pPr>
        <w:widowControl w:val="1"/>
        <w:spacing w:after="160" w:line="259" w:lineRule="auto"/>
        <w:rPr/>
      </w:pPr>
      <w:r w:rsidDel="00000000" w:rsidR="00000000" w:rsidRPr="00000000">
        <w:rPr>
          <w:rtl w:val="0"/>
        </w:rPr>
        <w:t xml:space="preserve">La relación entre crecimiento económico regional, disponibilidad de recursos fiscales provenientes del canon minero y niveles de corrupción institucional presenta una estructura causal compleja que no puede ser analizada mediante modelos unidireccionales. La literatura señala que la corrupción deteriora la eficiencia del gasto público y limita los efectos del canon sobre el desarrollo regional (Maldonado, 2011; Távara, 2012), mientras que la magnitud y estabilidad del canon, dependiente de los precios internacionales de los commodities, puede influir en los incentivos institucionales y alterar los niveles de corrupción (Sanguinetti, 2010; Cruz &amp; Garabito, 2025). Asimismo, el desempeño económico regional puede modificar la estabilidad institucional y la percepción ciudadana respecto a la gobernanza. </w:t>
      </w:r>
    </w:p>
    <w:p w:rsidR="00000000" w:rsidDel="00000000" w:rsidP="00000000" w:rsidRDefault="00000000" w:rsidRPr="00000000" w14:paraId="00000057">
      <w:pPr>
        <w:widowControl w:val="1"/>
        <w:spacing w:after="160" w:line="259" w:lineRule="auto"/>
        <w:rPr/>
      </w:pPr>
      <w:r w:rsidDel="00000000" w:rsidR="00000000" w:rsidRPr="00000000">
        <w:rPr>
          <w:rtl w:val="0"/>
        </w:rPr>
        <w:t xml:space="preserve">Ante este panorama, la investigación se formula la siguiente pregunta: ¿cómo influyen la corrupción institucional y la ejecución del canon minero en el desarrollo económico regional del Perú, y cómo responde la corrupción a variaciones en el canon y en el crecimiento económico entre 2004 y 2024? Para abordar esta interrogante, es necesario adoptar metodologías que permitan integrar diversas fuentes de información y tratar adecuadamente la endogeneidad inherente a estas variables. En particular, un enfoque estructural basado en ecuaciones simultáneas, sustentado en bases de datos como ENAHO, INEI, MEF-SIAF y registros de la Contraloría, permite identificar los mecanismos de retroalimentación que caracterizan estas dinámicas institucionales y económicas.</w:t>
      </w:r>
    </w:p>
    <w:p w:rsidR="00000000" w:rsidDel="00000000" w:rsidP="00000000" w:rsidRDefault="00000000" w:rsidRPr="00000000" w14:paraId="00000058">
      <w:pPr>
        <w:widowControl w:val="1"/>
        <w:spacing w:after="160" w:line="259" w:lineRule="auto"/>
        <w:rPr>
          <w:i w:val="1"/>
          <w:iCs w:val="1"/>
        </w:rPr>
      </w:pPr>
      <w:r w:rsidDel="00000000" w:rsidR="00000000" w:rsidRPr="00000000">
        <w:rPr>
          <w:i w:val="1"/>
          <w:iCs w:val="1"/>
          <w:rtl w:val="0"/>
        </w:rPr>
        <w:t xml:space="preserve">Bases de datos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Nacional de Estadística e Informática (INEI)</w:t>
      </w:r>
    </w:p>
    <w:p w:rsidR="00000000" w:rsidDel="00000000" w:rsidP="00000000" w:rsidRDefault="00000000" w:rsidRPr="00000000" w14:paraId="0000005A">
      <w:pPr>
        <w:widowControl w:val="1"/>
        <w:spacing w:after="160" w:line="259" w:lineRule="auto"/>
        <w:rPr/>
      </w:pPr>
      <w:r w:rsidDel="00000000" w:rsidR="00000000" w:rsidRPr="00000000">
        <w:rPr>
          <w:rtl w:val="0"/>
        </w:rPr>
        <w:t xml:space="preserve">El INEI constituye la fuente principal para medir el desarrollo económico regional, variable que se construye a partir del PBI per cápita departamental, disponible en las Cuentas Nacionales Regionales. Esta información permite captar las diferencias territoriales en crecimiento económico durante el periodo 2004-2024, elemento fundamental para comprender la heterogeneidad del impacto del canon minero entre regiones, tal como enfatizan Cruz y Garabito (2025). Asimismo, el INEI provee indicadores sociales como la tasa de pobreza monetaria regional y la tasa de desempleo, utilizados como variables de control para aislar el efecto neto de los recursos públicos sobre el bienestar económico. Diversos estudios como el de Alvarado et al. (2022) subrayan que estos indicadores son esenciales para evitar atribuir al canon efectos que responden a condiciones estructurales preexistentes.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Encuesta Nacional de Hogares (ENAHO)</w:t>
      </w:r>
    </w:p>
    <w:p w:rsidR="00000000" w:rsidDel="00000000" w:rsidP="00000000" w:rsidRDefault="00000000" w:rsidRPr="00000000" w14:paraId="0000005C">
      <w:pPr>
        <w:widowControl w:val="1"/>
        <w:spacing w:after="160" w:line="259" w:lineRule="auto"/>
        <w:rPr/>
      </w:pPr>
      <w:r w:rsidDel="00000000" w:rsidR="00000000" w:rsidRPr="00000000">
        <w:rPr>
          <w:rtl w:val="0"/>
        </w:rPr>
        <w:t xml:space="preserve">La ENAHO, también administrada por el INEI, es indispensable para capturar dimensiones institucionales vinculadas a la corrupción. A partir del módulo de Gobernabilidad, Transparecia y Democracia, se construye la variable que mide la probabilidad percibida de corrupción en el sector público para cada región del país. Este indicador es clave para comprender la legitimidad institucional regional, en línea con lo propuesto por Arias (2025), quien señala que las percepciones ciudadanas influyen en la capacidad estatal para transformar ingresos fiscales en desarrollo.</w:t>
      </w:r>
    </w:p>
    <w:p w:rsidR="00000000" w:rsidDel="00000000" w:rsidP="00000000" w:rsidRDefault="00000000" w:rsidRPr="00000000" w14:paraId="0000005D">
      <w:pPr>
        <w:widowControl w:val="1"/>
        <w:spacing w:after="160" w:line="259" w:lineRule="auto"/>
        <w:rPr/>
      </w:pPr>
      <w:r w:rsidDel="00000000" w:rsidR="00000000" w:rsidRPr="00000000">
        <w:rPr>
          <w:rtl w:val="0"/>
        </w:rPr>
        <w:t xml:space="preserve">Además, la ENAHO ofrece información socioeconómica (empleo, ingresos, composición de hogares) que permite incorporar controles robustos en el modelo. La compatibilidad anual de la encuesta posibilita la construcción de un panel armónico con la información del canon y del PBI regional.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Economía y Finanzas (MEF) - SIAF y Consulta Amigable</w:t>
      </w:r>
    </w:p>
    <w:p w:rsidR="00000000" w:rsidDel="00000000" w:rsidP="00000000" w:rsidRDefault="00000000" w:rsidRPr="00000000" w14:paraId="0000005F">
      <w:pPr>
        <w:widowControl w:val="1"/>
        <w:spacing w:after="160" w:line="259" w:lineRule="auto"/>
        <w:rPr/>
      </w:pPr>
      <w:r w:rsidDel="00000000" w:rsidR="00000000" w:rsidRPr="00000000">
        <w:rPr>
          <w:rtl w:val="0"/>
        </w:rPr>
        <w:t xml:space="preserve">El MEF proporciona las cifras oficiales de canon minero presupuestado y de canon minero ejecutado a través de sus plataformas SIAF y Consulta Amigable. Estas dos variables permiten distinguir entre la disponibilidad de recursos públicos y su utilización efectiva. La literatura destaca esta diferencia: mientras el presupuesto refleja la capacidad financiera potencial, la ejecución determina el impacto real sobre los servicios e infraestructura regionales (Sanguinetti, 2010; Sena, 2019). La base del MEF permite desagregar montos por año, región y categoría de gasto, lo cual resulta crucial para examinar la eficiencia del gasto público financiado por actividades extractivas y su relación con la corrupción y el crecimiento económico regional. De acuerdo a ello, se utiliza la Consulta Amigable del MEF para poder obtener la cifra presupuestada anualmente a cada región proveniente del canon minero; y por parte del SIAF, se presenta la parte de los gastos que fueron llevados a cabo mediante la ejecución del canon minero visualizado en el módulo del tipo de gobierno (regional), rubro (canon y sobrecanon, regalías, renta de aduanas y participaciones), junto con el tipo de recurso (canon minero); para así poder obtener la data deseada.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Contraloría General de la República</w:t>
      </w:r>
    </w:p>
    <w:p w:rsidR="00000000" w:rsidDel="00000000" w:rsidP="00000000" w:rsidRDefault="00000000" w:rsidRPr="00000000" w14:paraId="00000061">
      <w:pPr>
        <w:widowControl w:val="1"/>
        <w:spacing w:after="160" w:line="259" w:lineRule="auto"/>
        <w:rPr/>
      </w:pPr>
      <w:r w:rsidDel="00000000" w:rsidR="00000000" w:rsidRPr="00000000">
        <w:rPr>
          <w:rtl w:val="0"/>
        </w:rPr>
        <w:t xml:space="preserve">La Contraloría es la fuente oficial para medir corrupción objetiva en las regiones. De sus informes anuales se deriva la variable de corrupción que contabiliza los casos de peculado identificados por región. Asimismo, de cantidad de casos percibidos dentro de la corrupción institucional -gobierno regional en este caso- por cada 100 mil habitantes en las regiones Esta métrica captura actos concretos de malversación de recursos públicos y complementa el indicador perceptual de la ENAHO. Tal como advierte Maldonado (2011), los delitos asociados a la captura de rentas públicas aumentan en contextos donde existe abundancia de ingresos extraordinarios -como el canon minero-, lo cual vuelve indispensable contar con medidas de corrupción tanto objetiva como subjetiva.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Banco Central de Reserva del Perú (BCRP)</w:t>
      </w:r>
    </w:p>
    <w:p w:rsidR="00000000" w:rsidDel="00000000" w:rsidP="00000000" w:rsidRDefault="00000000" w:rsidRPr="00000000" w14:paraId="00000063">
      <w:pPr>
        <w:widowControl w:val="1"/>
        <w:spacing w:after="160" w:line="259" w:lineRule="auto"/>
        <w:rPr/>
      </w:pPr>
      <w:r w:rsidDel="00000000" w:rsidR="00000000" w:rsidRPr="00000000">
        <w:rPr>
          <w:rtl w:val="0"/>
        </w:rPr>
        <w:t xml:space="preserve">El BCRP publica series anuales de los precios internacionales del cobre, oro, plata y zinc, minerales que financian el canon minero. Estos precios permiten controlar por choques externos que afectan la magnitud de las transferencias fiscales. Según Byrne y Sakemoto (2022), los precios de commodities constituyen variables exógenas útiles para identificar efectos causales en modelos estructurales, ya que influyen en la recaudación del canon sin depender de las condiciones de gobernanza regional. En esta investigación, estos precios se emplean como variables de control y como instrumentos dentro del sistema de ecuaciones simultáneas.</w:t>
      </w:r>
    </w:p>
    <w:p w:rsidR="00000000" w:rsidDel="00000000" w:rsidP="00000000" w:rsidRDefault="00000000" w:rsidRPr="00000000" w14:paraId="00000064">
      <w:pPr>
        <w:widowControl w:val="1"/>
        <w:spacing w:after="160" w:line="259" w:lineRule="auto"/>
        <w:rPr/>
      </w:pPr>
      <w:r w:rsidDel="00000000" w:rsidR="00000000" w:rsidRPr="00000000">
        <w:rPr>
          <w:rtl w:val="0"/>
        </w:rPr>
        <w:t xml:space="preserve">De este modo, las bases anteriores se integran en un panel regional balanceado que combina información económica (PBI per cápita), fiscal (canon presupuestado y ejecutado), institucional (percepción de corrupción, peculado), social (pobreza, desempleo) y externa (precios de commodities). Esta estructura permite capturar la dinámica simultánea entre desarrollo, corrupción y gestión del canon, en consonancia con el enfoque estructural propuesto por Hernández y Herrera (2018).</w:t>
      </w:r>
    </w:p>
    <w:p w:rsidR="00000000" w:rsidDel="00000000" w:rsidP="00000000" w:rsidRDefault="00000000" w:rsidRPr="00000000" w14:paraId="00000065">
      <w:pPr>
        <w:widowControl w:val="1"/>
        <w:spacing w:after="160" w:line="259" w:lineRule="auto"/>
        <w:rPr>
          <w:i w:val="1"/>
          <w:iCs w:val="1"/>
        </w:rPr>
      </w:pPr>
      <w:r w:rsidDel="00000000" w:rsidR="00000000" w:rsidRPr="00000000">
        <w:rPr>
          <w:i w:val="1"/>
          <w:iCs w:val="1"/>
          <w:rtl w:val="0"/>
        </w:rPr>
        <w:t xml:space="preserve">Estrategia empírica</w:t>
      </w:r>
    </w:p>
    <w:p w:rsidR="00000000" w:rsidDel="00000000" w:rsidP="00000000" w:rsidRDefault="00000000" w:rsidRPr="00000000" w14:paraId="00000066">
      <w:pPr>
        <w:widowControl w:val="1"/>
        <w:spacing w:after="160" w:line="259" w:lineRule="auto"/>
        <w:rPr/>
      </w:pPr>
      <w:r w:rsidDel="00000000" w:rsidR="00000000" w:rsidRPr="00000000">
        <w:rPr>
          <w:rtl w:val="0"/>
        </w:rPr>
        <w:t xml:space="preserve">La elección de un modelo de ecuaciones simultáneas como estrategia empírica responde a la naturaleza bidireccional de las relaciones entre desarrollo económico regional, corrupción institucional y uso del canon minero. En este tipo de contextos, las variables relevantes no pueden ser tratadas como exógenas, pues existe evidencia de retroalimentación mutua. Por ejemplo, un mayor nivel de canon ejecutado puede impulsar el crecimiento, pero al mismo tiempo generar incentivos para la captura de rentas públicas, afectando los niveles de corrupción. A su vez, altos niveles de corrupción pueden limitar la eficacia del canon para promover desarrollo económico, distorsionando la asignación del gasto y reduciendo sus efectos multiplicadores. Esta estructura circular es incompatible con modelos tradicionales de una sola ecuación.</w:t>
      </w:r>
    </w:p>
    <w:p w:rsidR="00000000" w:rsidDel="00000000" w:rsidP="00000000" w:rsidRDefault="00000000" w:rsidRPr="00000000" w14:paraId="00000067">
      <w:pPr>
        <w:widowControl w:val="1"/>
        <w:spacing w:after="160" w:line="259" w:lineRule="auto"/>
        <w:rPr/>
      </w:pPr>
      <w:r w:rsidDel="00000000" w:rsidR="00000000" w:rsidRPr="00000000">
        <w:rPr>
          <w:rtl w:val="0"/>
        </w:rPr>
        <w:t xml:space="preserve">La literatura de referencia metodológica para este estudio es el trabajo de Hernández y Herrera (2018), quienes desarrollan un sistema de ecuaciones simultáneas para analizar la interacción entre gobernanza, desarrollo y variables institucionales. Su enfoque identifica que fenómenos como la corrupción y el crecimiento económico no pueden interpretarse en una única dirección causal, sino como procesos interdependientes dentro de una perspectiva mundial. La similitud con este estudio es evidente: al igual que las autoras (Hernández y Herrera) modelan la relación entre gobernabilidad y progreso socioeconómico, esta investigación incorpora simultáneamente a la producción -en este caso, regional-, corrupción, canon ejecutado, pobreza, desempleo y peculado, reconociendo que todas pueden influirse mutuamente.</w:t>
      </w:r>
    </w:p>
    <w:p w:rsidR="00000000" w:rsidDel="00000000" w:rsidP="00000000" w:rsidRDefault="00000000" w:rsidRPr="00000000" w14:paraId="00000068">
      <w:pPr>
        <w:widowControl w:val="1"/>
        <w:spacing w:after="160" w:lineRule="auto"/>
        <w:rPr/>
      </w:pPr>
      <w:r w:rsidDel="00000000" w:rsidR="00000000" w:rsidRPr="00000000">
        <w:rPr>
          <w:rtl w:val="0"/>
        </w:rPr>
        <w:t xml:space="preserve">Asimismo, las autoras argumentan que los modelos estructurales permiten corregir problemas de endogeneidad que surgen cuando variables institucionales y económicas se determinan conjuntamente. En esta investigación ocurre lo mismo: la corrupción afecta el desarrollo, pero el desarrollo también condiciona las oportunidades para la corrupción; el canon influye en ambos, pero también responde a factores externos como los precios de los commodities. Por ello, el uso de ecuaciones simultáneas resulta teóricamente coherente y empíricamente indispensable para identificar efectos causales consistentes dentro de un sistema donde las decisiones fiscales y los resultados económicos están profundamente entrelazados.</w:t>
      </w:r>
    </w:p>
    <w:p w:rsidR="00000000" w:rsidDel="00000000" w:rsidP="00000000" w:rsidRDefault="00000000" w:rsidRPr="00000000" w14:paraId="00000069">
      <w:pPr>
        <w:widowControl w:val="1"/>
        <w:spacing w:after="160" w:lineRule="auto"/>
        <w:rPr>
          <w:i w:val="1"/>
          <w:iCs w:val="1"/>
        </w:rPr>
      </w:pPr>
      <w:r w:rsidDel="00000000" w:rsidR="00000000" w:rsidRPr="00000000">
        <w:rPr>
          <w:i w:val="1"/>
          <w:iCs w:val="1"/>
          <w:rtl w:val="0"/>
        </w:rPr>
        <w:t xml:space="preserve">Econometría (Sistema de ecuaciones simultáneas)</w:t>
      </w:r>
    </w:p>
    <w:p w:rsidR="00000000" w:rsidDel="00000000" w:rsidP="00000000" w:rsidRDefault="00000000" w:rsidRPr="00000000" w14:paraId="0000006A">
      <w:pPr>
        <w:rPr/>
      </w:pPr>
      <w:r w:rsidDel="00000000" w:rsidR="00000000" w:rsidRPr="00000000">
        <w:rPr>
          <w:rtl w:val="0"/>
        </w:rPr>
        <w:t xml:space="preserve">En consecuencia, la investigación no puede analizar estas variables mediante un modelo tradicional; necesita un marco estructural como 2SLS (MC2E) o 3SLS (MC3E) para capturar la endogeneidad entre instituciones y desarrollo, donde la econometría se visualiza en un sistema de ecuaciones simultáneas y se tiene en cuenta que la unidad de análisis es la región (i) y el año (t), se propone el siguiente sistema de ecuaciones:</w:t>
      </w:r>
    </w:p>
    <w:p w:rsidR="00000000" w:rsidDel="00000000" w:rsidP="00000000" w:rsidRDefault="00000000" w:rsidRPr="00000000" w14:paraId="0000006B">
      <w:pPr>
        <w:ind w:hanging="1559.0551181102362"/>
        <w:jc w:val="center"/>
        <w:rPr>
          <w:rFonts w:ascii="Cambria Math" w:cs="Cambria Math" w:eastAsia="Cambria Math" w:hAnsi="Cambria Math"/>
        </w:rPr>
      </w:pPr>
      <m:oMath>
        <m:r>
          <w:rPr>
            <w:rFonts w:ascii="Cambria Math" w:cs="Cambria Math" w:eastAsia="Cambria Math" w:hAnsi="Cambria Math"/>
          </w:rPr>
          <m:t xml:space="preserve">log</m:t>
        </m:r>
        <m:sSub>
          <m:sSubPr>
            <m:ctrlPr>
              <w:rPr>
                <w:rFonts w:ascii="Cambria Math" w:cs="Cambria Math" w:eastAsia="Cambria Math" w:hAnsi="Cambria Math"/>
              </w:rPr>
            </m:ctrlPr>
          </m:sSubPr>
          <m:e>
            <m:r>
              <w:rPr>
                <w:rFonts w:ascii="Cambria Math" w:cs="Cambria Math" w:eastAsia="Cambria Math" w:hAnsi="Cambria Math"/>
              </w:rPr>
              <m:t xml:space="preserve">PBIperc</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Corrupción</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Canon</m:t>
            </m:r>
          </m:e>
          <m:sub>
            <m:r>
              <w:rPr>
                <w:rFonts w:ascii="Cambria Math" w:cs="Cambria Math" w:eastAsia="Cambria Math" w:hAnsi="Cambria Math"/>
              </w:rPr>
              <m:t xml:space="preserve">i,t</m:t>
            </m:r>
          </m:sub>
        </m:sSub>
        <m:sSub>
          <m:sSubPr>
            <m:ctrlPr>
              <w:rPr>
                <w:rFonts w:ascii="Cambria Math" w:cs="Cambria Math" w:eastAsia="Cambria Math" w:hAnsi="Cambria Math"/>
              </w:rPr>
            </m:ctrlPr>
          </m:sSubPr>
          <m:e>
            <m:r>
              <w:rPr>
                <w:rFonts w:ascii="Cambria Math" w:cs="Cambria Math" w:eastAsia="Cambria Math" w:hAnsi="Cambria Math"/>
              </w:rPr>
              <m:t xml:space="preserve">+α</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Canon_Ejec</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Pobreza</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5</m:t>
            </m:r>
          </m:sub>
        </m:sSub>
        <m:sSub>
          <m:sSubPr>
            <m:ctrlPr>
              <w:rPr>
                <w:rFonts w:ascii="Cambria Math" w:cs="Cambria Math" w:eastAsia="Cambria Math" w:hAnsi="Cambria Math"/>
              </w:rPr>
            </m:ctrlPr>
          </m:sSubPr>
          <m:e>
            <m:r>
              <w:rPr>
                <w:rFonts w:ascii="Cambria Math" w:cs="Cambria Math" w:eastAsia="Cambria Math" w:hAnsi="Cambria Math"/>
              </w:rPr>
              <m:t xml:space="preserve">Desempleo</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i,t</m:t>
            </m:r>
          </m:sub>
        </m:sSub>
      </m:oMath>
      <w:r w:rsidDel="00000000" w:rsidR="00000000" w:rsidRPr="00000000">
        <w:rPr>
          <w:rtl w:val="0"/>
        </w:rPr>
      </w:r>
    </w:p>
    <w:p w:rsidR="00000000" w:rsidDel="00000000" w:rsidP="00000000" w:rsidRDefault="00000000" w:rsidRPr="00000000" w14:paraId="0000006C">
      <w:pPr>
        <w:ind w:hanging="1559.0551181102362"/>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Corrupción</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PBI</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Canon</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Canon_Ejec</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 xml:space="preserve">Peculado_REG</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5</m:t>
            </m:r>
          </m:sub>
        </m:sSub>
        <m:sSub>
          <m:sSubPr>
            <m:ctrlPr>
              <w:rPr>
                <w:rFonts w:ascii="Cambria Math" w:cs="Cambria Math" w:eastAsia="Cambria Math" w:hAnsi="Cambria Math"/>
              </w:rPr>
            </m:ctrlPr>
          </m:sSubPr>
          <m:e>
            <m:r>
              <w:rPr>
                <w:rFonts w:ascii="Cambria Math" w:cs="Cambria Math" w:eastAsia="Cambria Math" w:hAnsi="Cambria Math"/>
              </w:rPr>
              <m:t xml:space="preserve">Percepción_Corr</m:t>
            </m:r>
          </m:e>
          <m:sub>
            <m:r>
              <w:rPr>
                <w:rFonts w:ascii="Cambria Math" w:cs="Cambria Math" w:eastAsia="Cambria Math" w:hAnsi="Cambria Math"/>
              </w:rPr>
              <m:t xml:space="preserve">i,t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υ</m:t>
            </m:r>
          </m:e>
          <m:sub>
            <m:r>
              <w:rPr>
                <w:rFonts w:ascii="Cambria Math" w:cs="Cambria Math" w:eastAsia="Cambria Math" w:hAnsi="Cambria Math"/>
              </w:rPr>
              <m:t xml:space="preserve">i,t</m:t>
            </m:r>
          </m:sub>
        </m:sSub>
      </m:oMath>
      <w:r w:rsidDel="00000000" w:rsidR="00000000" w:rsidRPr="00000000">
        <w:rPr>
          <w:rtl w:val="0"/>
        </w:rPr>
      </w:r>
    </w:p>
    <w:p w:rsidR="00000000" w:rsidDel="00000000" w:rsidP="00000000" w:rsidRDefault="00000000" w:rsidRPr="00000000" w14:paraId="0000006D">
      <w:pPr>
        <w:spacing w:after="280" w:before="280" w:lineRule="auto"/>
        <w:ind w:firstLine="0"/>
        <w:rPr/>
      </w:pPr>
      <w:r w:rsidDel="00000000" w:rsidR="00000000" w:rsidRPr="00000000">
        <w:rPr>
          <w:rtl w:val="0"/>
        </w:rPr>
        <w:t xml:space="preserve">Donde:</w:t>
      </w:r>
    </w:p>
    <w:p w:rsidR="00000000" w:rsidDel="00000000" w:rsidP="00000000" w:rsidRDefault="00000000" w:rsidRPr="00000000" w14:paraId="0000006E">
      <w:pPr>
        <w:widowControl w:val="1"/>
        <w:numPr>
          <w:ilvl w:val="0"/>
          <w:numId w:val="2"/>
        </w:numPr>
        <w:spacing w:after="0" w:before="280" w:lineRule="auto"/>
        <w:ind w:left="720" w:hanging="360"/>
        <w:rPr/>
      </w:pPr>
      <m:oMath>
        <m:r>
          <w:rPr>
            <w:rFonts w:ascii="Cambria Math" w:cs="Cambria Math" w:eastAsia="Cambria Math" w:hAnsi="Cambria Math"/>
          </w:rPr>
          <m:t xml:space="preserve">log</m:t>
        </m:r>
        <m:sSub>
          <m:sSubPr>
            <m:ctrlPr>
              <w:rPr>
                <w:rFonts w:ascii="Cambria Math" w:cs="Cambria Math" w:eastAsia="Cambria Math" w:hAnsi="Cambria Math"/>
              </w:rPr>
            </m:ctrlPr>
          </m:sSubPr>
          <m:e>
            <m:r>
              <w:rPr>
                <w:rFonts w:ascii="Cambria Math" w:cs="Cambria Math" w:eastAsia="Cambria Math" w:hAnsi="Cambria Math"/>
              </w:rPr>
              <m:t xml:space="preserve">PBIperc</m:t>
            </m:r>
          </m:e>
          <m:sub>
            <m:r>
              <w:rPr>
                <w:rFonts w:ascii="Cambria Math" w:cs="Cambria Math" w:eastAsia="Cambria Math" w:hAnsi="Cambria Math"/>
              </w:rPr>
              <m:t xml:space="preserve">i.t</m:t>
            </m:r>
          </m:sub>
        </m:sSub>
        <m:r>
          <w:rPr>
            <w:rFonts w:ascii="Cambria Math" w:cs="Cambria Math" w:eastAsia="Cambria Math" w:hAnsi="Cambria Math"/>
          </w:rPr>
          <m:t xml:space="preserve"> </m:t>
        </m:r>
      </m:oMath>
      <w:r w:rsidDel="00000000" w:rsidR="00000000" w:rsidRPr="00000000">
        <w:rPr>
          <w:rtl w:val="0"/>
        </w:rPr>
        <w:t xml:space="preserve">es el crecimiento económico regional, definido como la variación anual del logaritmo del PBI per cápita.</w:t>
      </w:r>
    </w:p>
    <w:p w:rsidR="00000000" w:rsidDel="00000000" w:rsidP="00000000" w:rsidRDefault="00000000" w:rsidRPr="00000000" w14:paraId="0000006F">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Corrupción</m:t>
            </m:r>
          </m:e>
          <m:sub>
            <m:r>
              <w:rPr>
                <w:rFonts w:ascii="Cambria Math" w:cs="Cambria Math" w:eastAsia="Cambria Math" w:hAnsi="Cambria Math"/>
              </w:rPr>
              <m:t xml:space="preserve">i,t</m:t>
            </m:r>
          </m:sub>
        </m:sSub>
      </m:oMath>
      <w:r w:rsidDel="00000000" w:rsidR="00000000" w:rsidRPr="00000000">
        <w:rPr>
          <w:rtl w:val="0"/>
        </w:rPr>
        <w:t xml:space="preserve">​ mide el número de casos de corrupción por 100 mil habitantes.</w:t>
      </w:r>
    </w:p>
    <w:p w:rsidR="00000000" w:rsidDel="00000000" w:rsidP="00000000" w:rsidRDefault="00000000" w:rsidRPr="00000000" w14:paraId="00000070">
      <w:pPr>
        <w:widowControl w:val="1"/>
        <w:numPr>
          <w:ilvl w:val="0"/>
          <w:numId w:val="2"/>
        </w:numPr>
        <w:spacing w:after="0" w:before="0" w:lineRule="auto"/>
        <w:ind w:left="720" w:hanging="360"/>
        <w:rPr/>
      </w:pPr>
      <w:r w:rsidDel="00000000" w:rsidR="00000000" w:rsidRPr="00000000">
        <w:rPr>
          <w:i w:val="1"/>
          <w:iCs w:val="1"/>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Canon</m:t>
            </m:r>
          </m:e>
          <m:sub>
            <m:r>
              <w:rPr>
                <w:rFonts w:ascii="Cambria Math" w:cs="Cambria Math" w:eastAsia="Cambria Math" w:hAnsi="Cambria Math"/>
              </w:rPr>
              <m:t xml:space="preserve">i,t</m:t>
            </m:r>
          </m:sub>
        </m:sSub>
        <m:r>
          <w:rPr>
            <w:rFonts w:ascii="Cambria Math" w:cs="Cambria Math" w:eastAsia="Cambria Math" w:hAnsi="Cambria Math"/>
          </w:rPr>
          <m:t xml:space="preserve"> </m:t>
        </m:r>
      </m:oMath>
      <w:r w:rsidDel="00000000" w:rsidR="00000000" w:rsidRPr="00000000">
        <w:rPr>
          <w:rtl w:val="0"/>
        </w:rPr>
        <w:t xml:space="preserve">es el ingreso presupuestado del canon minero para las regiones.</w:t>
      </w:r>
    </w:p>
    <w:p w:rsidR="00000000" w:rsidDel="00000000" w:rsidP="00000000" w:rsidRDefault="00000000" w:rsidRPr="00000000" w14:paraId="00000071">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Canon_Ejec</m:t>
            </m:r>
          </m:e>
          <m:sub>
            <m:r>
              <w:rPr>
                <w:rFonts w:ascii="Cambria Math" w:cs="Cambria Math" w:eastAsia="Cambria Math" w:hAnsi="Cambria Math"/>
              </w:rPr>
              <m:t xml:space="preserve">i,t</m:t>
            </m:r>
          </m:sub>
        </m:sSub>
        <m:r>
          <w:rPr>
            <w:rFonts w:ascii="Cambria Math" w:cs="Cambria Math" w:eastAsia="Cambria Math" w:hAnsi="Cambria Math"/>
          </w:rPr>
          <m:t xml:space="preserve"> </m:t>
        </m:r>
      </m:oMath>
      <w:r w:rsidDel="00000000" w:rsidR="00000000" w:rsidRPr="00000000">
        <w:rPr>
          <w:rtl w:val="0"/>
        </w:rPr>
        <w:t xml:space="preserve">es la ejecución presupuestal del canon minero (% anual del presupuesto regional ejecutado).</w:t>
      </w:r>
    </w:p>
    <w:p w:rsidR="00000000" w:rsidDel="00000000" w:rsidP="00000000" w:rsidRDefault="00000000" w:rsidRPr="00000000" w14:paraId="00000072">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Pobreza</m:t>
            </m:r>
          </m:e>
          <m:sub>
            <m:r>
              <w:rPr>
                <w:rFonts w:ascii="Cambria Math" w:cs="Cambria Math" w:eastAsia="Cambria Math" w:hAnsi="Cambria Math"/>
              </w:rPr>
              <m:t xml:space="preserve">i,t</m:t>
            </m:r>
          </m:sub>
        </m:sSub>
        <m:r>
          <w:rPr>
            <w:rFonts w:ascii="Cambria Math" w:cs="Cambria Math" w:eastAsia="Cambria Math" w:hAnsi="Cambria Math"/>
          </w:rPr>
          <m:t xml:space="preserve"> </m:t>
        </m:r>
      </m:oMath>
      <w:r w:rsidDel="00000000" w:rsidR="00000000" w:rsidRPr="00000000">
        <w:rPr>
          <w:rtl w:val="0"/>
        </w:rPr>
        <w:t xml:space="preserve">es la tasa de pobreza monetaria regional.</w:t>
      </w:r>
    </w:p>
    <w:p w:rsidR="00000000" w:rsidDel="00000000" w:rsidP="00000000" w:rsidRDefault="00000000" w:rsidRPr="00000000" w14:paraId="00000073">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Desempleo</m:t>
            </m:r>
          </m:e>
          <m:sub>
            <m:r>
              <w:rPr>
                <w:rFonts w:ascii="Cambria Math" w:cs="Cambria Math" w:eastAsia="Cambria Math" w:hAnsi="Cambria Math"/>
              </w:rPr>
              <m:t xml:space="preserve">i,t</m:t>
            </m:r>
          </m:sub>
        </m:sSub>
      </m:oMath>
      <w:r w:rsidDel="00000000" w:rsidR="00000000" w:rsidRPr="00000000">
        <w:rPr>
          <w:rtl w:val="0"/>
        </w:rPr>
        <w:t xml:space="preserve">​ mide la variación porcentual del desempleo en las regiones por cada 100 mil habitantes.</w:t>
      </w:r>
    </w:p>
    <w:p w:rsidR="00000000" w:rsidDel="00000000" w:rsidP="00000000" w:rsidRDefault="00000000" w:rsidRPr="00000000" w14:paraId="00000074">
      <w:pPr>
        <w:widowControl w:val="1"/>
        <w:numPr>
          <w:ilvl w:val="0"/>
          <w:numId w:val="2"/>
        </w:numPr>
        <w:spacing w:after="0" w:before="0" w:lineRule="auto"/>
        <w:ind w:left="720" w:hanging="360"/>
        <w:rPr/>
      </w:pPr>
      <w:r w:rsidDel="00000000" w:rsidR="00000000" w:rsidRPr="00000000">
        <w:rPr>
          <w:i w:val="1"/>
          <w:iCs w:val="1"/>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Peculado</m:t>
            </m:r>
          </m:e>
          <m:sub>
            <m:r>
              <w:rPr>
                <w:rFonts w:ascii="Cambria Math" w:cs="Cambria Math" w:eastAsia="Cambria Math" w:hAnsi="Cambria Math"/>
              </w:rPr>
              <m:t xml:space="preserve">i,t</m:t>
            </m:r>
          </m:sub>
        </m:sSub>
        <m:r>
          <w:rPr>
            <w:rFonts w:ascii="Cambria Math" w:cs="Cambria Math" w:eastAsia="Cambria Math" w:hAnsi="Cambria Math"/>
          </w:rPr>
          <m:t xml:space="preserve"> </m:t>
        </m:r>
      </m:oMath>
      <w:r w:rsidDel="00000000" w:rsidR="00000000" w:rsidRPr="00000000">
        <w:rPr>
          <w:rtl w:val="0"/>
        </w:rPr>
        <w:t xml:space="preserve">es la cantidad total de casos registrados de peculado por región en cada año.</w:t>
      </w:r>
    </w:p>
    <w:p w:rsidR="00000000" w:rsidDel="00000000" w:rsidP="00000000" w:rsidRDefault="00000000" w:rsidRPr="00000000" w14:paraId="00000075">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Percepción_Corr</m:t>
            </m:r>
          </m:e>
          <m:sub>
            <m:r>
              <w:rPr>
                <w:rFonts w:ascii="Cambria Math" w:cs="Cambria Math" w:eastAsia="Cambria Math" w:hAnsi="Cambria Math"/>
              </w:rPr>
              <m:t xml:space="preserve">i,t</m:t>
            </m:r>
          </m:sub>
        </m:sSub>
      </m:oMath>
      <w:r w:rsidDel="00000000" w:rsidR="00000000" w:rsidRPr="00000000">
        <w:rPr>
          <w:rtl w:val="0"/>
        </w:rPr>
        <w:t xml:space="preserve">​ mide la percepción de corrupción de los hogares en cada año a nivel regional.</w:t>
      </w:r>
    </w:p>
    <w:p w:rsidR="00000000" w:rsidDel="00000000" w:rsidP="00000000" w:rsidRDefault="00000000" w:rsidRPr="00000000" w14:paraId="00000076">
      <w:pPr>
        <w:widowControl w:val="1"/>
        <w:numPr>
          <w:ilvl w:val="0"/>
          <w:numId w:val="2"/>
        </w:numPr>
        <w:spacing w:after="0" w:before="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i,t</m:t>
            </m:r>
          </m:sub>
        </m:sSub>
      </m:oMath>
      <w:r w:rsidDel="00000000" w:rsidR="00000000" w:rsidRPr="00000000">
        <w:rPr>
          <w:rtl w:val="0"/>
        </w:rPr>
        <w:t xml:space="preserve"> representa variables de control como gasto público regional y solidez institucional, y principalmente, a los precios de los minerales.</w:t>
      </w:r>
    </w:p>
    <w:p w:rsidR="00000000" w:rsidDel="00000000" w:rsidP="00000000" w:rsidRDefault="00000000" w:rsidRPr="00000000" w14:paraId="00000077">
      <w:pPr>
        <w:widowControl w:val="1"/>
        <w:numPr>
          <w:ilvl w:val="0"/>
          <w:numId w:val="2"/>
        </w:numPr>
        <w:spacing w:after="280" w:before="0" w:lineRule="auto"/>
        <w:ind w:left="720" w:hanging="360"/>
        <w:rPr/>
      </w:pPr>
      <m:oMath>
        <m:sSub>
          <m:sSubPr>
            <m:ctrlPr>
              <w:rPr>
                <w:rFonts w:ascii="Cambria Math" w:cs="Cambria Math" w:eastAsia="Cambria Math" w:hAnsi="Cambria Math"/>
              </w:rPr>
            </m:ctrlPr>
          </m:sSubPr>
          <m:e>
            <m:r>
              <m:t>ν</m:t>
            </m:r>
          </m:e>
          <m:sub>
            <m:r>
              <w:rPr>
                <w:rFonts w:ascii="Cambria Math" w:cs="Cambria Math" w:eastAsia="Cambria Math" w:hAnsi="Cambria Math"/>
              </w:rPr>
              <m:t xml:space="preserve">i,t</m:t>
            </m:r>
          </m:sub>
        </m:sSub>
        <m:r>
          <w:rPr>
            <w:rFonts w:ascii="Cambria Math" w:cs="Cambria Math" w:eastAsia="Cambria Math" w:hAnsi="Cambria Math"/>
          </w:rPr>
          <m:t xml:space="preserve"> y </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i,t</m:t>
            </m:r>
          </m:sub>
        </m:sSub>
      </m:oMath>
      <w:r w:rsidDel="00000000" w:rsidR="00000000" w:rsidRPr="00000000">
        <w:rPr>
          <w:rtl w:val="0"/>
        </w:rPr>
        <w:t xml:space="preserve"> son efectos fijos regionales no observados.</w:t>
      </w:r>
    </w:p>
    <w:p w:rsidR="00000000" w:rsidDel="00000000" w:rsidP="00000000" w:rsidRDefault="00000000" w:rsidRPr="00000000" w14:paraId="00000078">
      <w:pPr>
        <w:spacing w:after="240" w:lineRule="auto"/>
        <w:rPr/>
      </w:pPr>
      <w:r w:rsidDel="00000000" w:rsidR="00000000" w:rsidRPr="00000000">
        <w:rPr>
          <w:rtl w:val="0"/>
        </w:rPr>
        <w:t xml:space="preserve">La investigación emplea un panel balanceado de 25 regiones del Perú, con periodicidad anual 2004–2024, construido a partir de diversas fuentes oficiales como INEI, el Portal de Transparencia del Ministerio de economía y finanzas (MEF), la encuesta nacional de hogares (ENAHO), SIAF, Contraloría general de la República y el Banco Mundial. Ambas ecuaciones forman un sistema simultáneo porque cada variable dependiente aparece como independiente en la otra, generando endogeneidad estructural. Para resolver este problema, el modelo será estimado mediante Mínimos Cuadrados en Dos Etapas (MC2E) o Mínimos Cuadrados en Tres Etapas (MC3E), siguiendo la propuesta metodológica de Hernández y Herrera (2018), y se utilizarán las fuentes antes mencionadas en las bases de datos. Asimismo, se utilizará principalmente a los softwares Python y Stata que llevarán a cabo la estimación que regresionarán al modelo econométrico de esta investigación. </w:t>
      </w:r>
    </w:p>
    <w:p w:rsidR="00000000" w:rsidDel="00000000" w:rsidP="00000000" w:rsidRDefault="00000000" w:rsidRPr="00000000" w14:paraId="00000079">
      <w:pPr>
        <w:spacing w:after="240" w:lineRule="auto"/>
        <w:rPr>
          <w:i w:val="1"/>
          <w:iCs w:val="1"/>
        </w:rPr>
      </w:pPr>
      <w:r w:rsidDel="00000000" w:rsidR="00000000" w:rsidRPr="00000000">
        <w:rPr>
          <w:i w:val="1"/>
          <w:iCs w:val="1"/>
          <w:rtl w:val="0"/>
        </w:rPr>
        <w:t xml:space="preserve">Hipótesis</w:t>
      </w:r>
    </w:p>
    <w:p w:rsidR="00000000" w:rsidDel="00000000" w:rsidP="00000000" w:rsidRDefault="00000000" w:rsidRPr="00000000" w14:paraId="0000007A">
      <w:pPr>
        <w:rPr/>
      </w:pPr>
      <w:r w:rsidDel="00000000" w:rsidR="00000000" w:rsidRPr="00000000">
        <w:rPr>
          <w:rtl w:val="0"/>
        </w:rPr>
        <w:t xml:space="preserve">La literatura revisada permite plantear un conjunto de hipótesis secundarias que profundizan los mecanismos causales entre canon minero, corrupción institucional y desarrollo económico regional. Estas hipótesis derivan directamente de los estudios teóricos y empíricos analizados, y justifican el uso de un enfoque econométrico estructural en la investigación.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H0: El uso del canon minero no tiene un impacto significativo en el desarrollo económico regional del Perú.</w:t>
      </w:r>
    </w:p>
    <w:p w:rsidR="00000000" w:rsidDel="00000000" w:rsidP="00000000" w:rsidRDefault="00000000" w:rsidRPr="00000000" w14:paraId="0000007D">
      <w:pPr>
        <w:rPr/>
      </w:pPr>
      <w:r w:rsidDel="00000000" w:rsidR="00000000" w:rsidRPr="00000000">
        <w:rPr>
          <w:rtl w:val="0"/>
        </w:rPr>
        <w:t xml:space="preserve">H1: Una mayor ejecución del canon minero incrementa el desarrollo económico regional, pero dicho efecto se reduce en presencia de corrupción institucional.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lineRule="auto"/>
        <w:rPr/>
      </w:pPr>
      <w:r w:rsidDel="00000000" w:rsidR="00000000" w:rsidRPr="00000000">
        <w:rPr>
          <w:rtl w:val="0"/>
        </w:rPr>
        <w:t xml:space="preserve">La primera hipótesis, la hipótesis principal de esta investigación que es unidireccional que va de corrupción al desarrollo económico, sostiene que la corrupción institucional reduce significativamente el impacto del canon minero sobre el desarrollo regional; es decir que, a mayor corrupción, menor desarrollo económico. Diversos estudios (Maldonado, 2011; Távara, 2012) documentan que la presencia de prácticas corruptas distorsiona la ejecución de la inversión pública, incrementa sobrecostos y disminuye la calidad de los proyectos financiados por el canon. En este sentido, incluso regiones con elevados montos de canon pueden mostrar resultados económicos modestos si la corrupción es alta. Esta hipótesis es particularmente relevante para el Perú, donde la descentralización ha expuesto diferencias marcadas entre regiones con alta capacidad de gestión y otras con debilidad institucional.</w:t>
      </w:r>
    </w:p>
    <w:p w:rsidR="00000000" w:rsidDel="00000000" w:rsidP="00000000" w:rsidRDefault="00000000" w:rsidRPr="00000000" w14:paraId="00000080">
      <w:pPr>
        <w:spacing w:after="240" w:lineRule="auto"/>
        <w:rPr/>
      </w:pPr>
      <w:r w:rsidDel="00000000" w:rsidR="00000000" w:rsidRPr="00000000">
        <w:rPr>
          <w:rtl w:val="0"/>
        </w:rPr>
        <w:t xml:space="preserve">Una segunda hipótesis, la hipótesis nula, plantea que no existe relación entre ambas variables -desarrollo regional y corrupción-, debido a que son los precios internacionales de los minerales los que influyen indirectamente en el desarrollo económico a través de su efecto sobre los montos del canon minero. Tal como evidencian Byrne y Sakemoto (2022) y Sen et al. (2024), los ciclos globales de los commodities afectan directamente los ingresos fiscales en países extractivos. En el caso peruano, un aumento en los precios del cobre, del oro o del gas incrementa los ingresos del canon y, por tanto, expande el espacio fiscal subnacional. Sin embargo, esta expansión no garantiza efectos positivos sostenidos debido a la volatilidad y a la limitada capacidad de planificación regional durante los booms.</w:t>
      </w:r>
    </w:p>
    <w:p w:rsidR="00000000" w:rsidDel="00000000" w:rsidP="00000000" w:rsidRDefault="00000000" w:rsidRPr="00000000" w14:paraId="00000081">
      <w:pPr>
        <w:spacing w:after="240" w:lineRule="auto"/>
        <w:rPr/>
      </w:pPr>
      <w:r w:rsidDel="00000000" w:rsidR="00000000" w:rsidRPr="00000000">
        <w:rPr>
          <w:rtl w:val="0"/>
        </w:rPr>
        <w:t xml:space="preserve">La tercera hipótesis, unidireccional que va de desarrollo económico a corrupción, sugiere que el impacto económico del canon es mayor en regiones con altos niveles de transparencia, capacidad administrativa y cumplimiento normativo; es decir que mayor desarrollo económico implica mayor transparencia (menor corrupción). La literatura (Huancas et al., 2022; Sena, 2019) muestra que la calidad institucional actúa como un factor moderador: en regiones con buenas prácticas de gestión pública, los recursos del canon se traducen en proyectos productivos, mientras que en regiones con debilidad técnica predominan obras inconclusas, baja calidad o gasto fragmentado.</w:t>
      </w:r>
    </w:p>
    <w:p w:rsidR="00000000" w:rsidDel="00000000" w:rsidP="00000000" w:rsidRDefault="00000000" w:rsidRPr="00000000" w14:paraId="00000082">
      <w:pPr>
        <w:spacing w:after="240" w:lineRule="auto"/>
        <w:rPr/>
      </w:pPr>
      <w:r w:rsidDel="00000000" w:rsidR="00000000" w:rsidRPr="00000000">
        <w:rPr>
          <w:rtl w:val="0"/>
        </w:rPr>
        <w:t xml:space="preserve">Finalmente, una cuarta hipótesis afirma que la corrupción y el crecimiento económico mantienen una relación bidireccional, siguiendo el enfoque de Hernández y Herrera (2018). No solo la corrupción reduce el crecimiento económico regional, sino que contextos de bajo crecimiento también aumentan la probabilidad de prácticas corruptas al debilitar los incentivos para el uso eficiente de los recursos públicos. Esta interacción dinámica explica por qué algunas regiones, incluso con altos ingresos mineros, permanecen estancadas o experimentan retrocesos en bienestar.</w:t>
      </w:r>
    </w:p>
    <w:p w:rsidR="00000000" w:rsidDel="00000000" w:rsidP="00000000" w:rsidRDefault="00000000" w:rsidRPr="00000000" w14:paraId="00000083">
      <w:pPr>
        <w:rPr/>
      </w:pPr>
      <w:r w:rsidDel="00000000" w:rsidR="00000000" w:rsidRPr="00000000">
        <w:rPr>
          <w:rtl w:val="0"/>
        </w:rPr>
        <w:t xml:space="preserve">Este conjunto de hipótesis estructuradas sirve como guía para la estimación empírica y fundamenta la necesidad de un enfoque de ecuaciones simultáneas que capture la interdependencia entre las variables clave del estudio.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widowControl w:val="1"/>
        <w:spacing w:after="160" w:line="259" w:lineRule="auto"/>
        <w:rPr>
          <w:i w:val="1"/>
          <w:iCs w:val="1"/>
        </w:rPr>
      </w:pPr>
      <w:r w:rsidDel="00000000" w:rsidR="00000000" w:rsidRPr="00000000">
        <w:rPr>
          <w:i w:val="1"/>
          <w:iCs w:val="1"/>
          <w:rtl w:val="0"/>
        </w:rPr>
        <w:t xml:space="preserve">Conclusión</w:t>
      </w:r>
    </w:p>
    <w:p w:rsidR="00000000" w:rsidDel="00000000" w:rsidP="00000000" w:rsidRDefault="00000000" w:rsidRPr="00000000" w14:paraId="00000086">
      <w:pPr>
        <w:widowControl w:val="1"/>
        <w:spacing w:after="160" w:line="259" w:lineRule="auto"/>
        <w:rPr/>
      </w:pPr>
      <w:r w:rsidDel="00000000" w:rsidR="00000000" w:rsidRPr="00000000">
        <w:rPr>
          <w:rtl w:val="0"/>
        </w:rPr>
        <w:t xml:space="preserve">La presente investigación aborda un problema central para el desarrollo territorial del Perú: la capacidad de los gobiernos regionales para transformar los recursos provenientes del canon minero en crecimiento económico sostenible en un contexto marcado por desigualdades institucionales y elevados niveles de corrupción. La literatura consultada evidencia que, aunque el canon posee un potencial significativo para impulsar infraestructura, empleo y actividad productiva (Sanguinetti, 2010; Cruz y Garabito, 2025), sus efectos reales dependen en gran medida de la calidad de las instituciones locales y de la eficiencia del gasto público (Maldonado, 2011; Távara, 2012). En ese sentido, esta investigación contribuye al debate al integrar simultáneamente variables económicas, fiscales e institucionales, ofreciendo una aproximación más completa al fenómeno. </w:t>
      </w:r>
    </w:p>
    <w:p w:rsidR="00000000" w:rsidDel="00000000" w:rsidP="00000000" w:rsidRDefault="00000000" w:rsidRPr="00000000" w14:paraId="00000087">
      <w:pPr>
        <w:widowControl w:val="1"/>
        <w:spacing w:after="160" w:line="259" w:lineRule="auto"/>
        <w:rPr/>
      </w:pPr>
      <w:r w:rsidDel="00000000" w:rsidR="00000000" w:rsidRPr="00000000">
        <w:rPr>
          <w:rtl w:val="0"/>
        </w:rPr>
        <w:t xml:space="preserve">La selección de variables -PBI per cápita regional, canon presupuestado, canon ejecutado, percepción de corrupción, peculado, pobreza y desempleo- responde a los marcos teóricos revisados y permite capturar los mecanismos a través de los cuales el canon puede o no convertirse en desarrollo. Asimismo, la incorporación de precios internacionales de commodities como factores exógenos fortalece la validez empírica del análisis. </w:t>
      </w:r>
    </w:p>
    <w:p w:rsidR="00000000" w:rsidDel="00000000" w:rsidP="00000000" w:rsidRDefault="00000000" w:rsidRPr="00000000" w14:paraId="00000088">
      <w:pPr>
        <w:widowControl w:val="1"/>
        <w:spacing w:after="160" w:line="259" w:lineRule="auto"/>
        <w:rPr/>
      </w:pPr>
      <w:r w:rsidDel="00000000" w:rsidR="00000000" w:rsidRPr="00000000">
        <w:rPr>
          <w:rtl w:val="0"/>
        </w:rPr>
        <w:t xml:space="preserve">El uso de un modelo de ecuaciones simultáneas, inspirado en el enfoque metodológico de Hernández y Herrera, resulta pertinente ante la existencia de relaciones bidireccionales entre corrupción y desarrollo, y entre canon y gobernanza. Finalmente, las hipótesis planteadas permiten evaluar de forma estructural estas interacciones, destacando que la corrupción no solo limita los efectos del canon, sino que también responde a los incentivos derivados del crecimiento económico y de las transferencias fiscales. En conjunto, el estudio ofrece una base sólida para comprender las brechas regionales y para formular políticas públicas orientadas a mejorar la gestión de los recursos extractivos. </w:t>
      </w:r>
    </w:p>
    <w:p w:rsidR="00000000" w:rsidDel="00000000" w:rsidP="00000000" w:rsidRDefault="00000000" w:rsidRPr="00000000" w14:paraId="00000089">
      <w:pPr>
        <w:widowControl w:val="1"/>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A">
      <w:pPr>
        <w:widowControl w:val="1"/>
        <w:spacing w:after="160" w:line="259" w:lineRule="auto"/>
        <w:jc w:val="center"/>
        <w:rPr>
          <w:b w:val="1"/>
          <w:bCs w:val="1"/>
        </w:rPr>
      </w:pPr>
      <w:r w:rsidDel="00000000" w:rsidR="00000000" w:rsidRPr="00000000">
        <w:rPr>
          <w:b w:val="1"/>
          <w:bCs w:val="1"/>
          <w:rtl w:val="0"/>
        </w:rPr>
        <w:t xml:space="preserve">Referencias</w:t>
      </w:r>
    </w:p>
    <w:p w:rsidR="00000000" w:rsidDel="00000000" w:rsidP="00000000" w:rsidRDefault="00000000" w:rsidRPr="00000000" w14:paraId="0000008B">
      <w:pPr>
        <w:rPr/>
      </w:pPr>
      <w:r w:rsidDel="00000000" w:rsidR="00000000" w:rsidRPr="00000000">
        <w:rPr>
          <w:rtl w:val="0"/>
        </w:rPr>
        <w:t xml:space="preserve">Ahmad, E., Ullah, M. A., &amp; Arfeen, M. I. (2012). Does corruption affect economic</w:t>
      </w:r>
    </w:p>
    <w:p w:rsidR="00000000" w:rsidDel="00000000" w:rsidP="00000000" w:rsidRDefault="00000000" w:rsidRPr="00000000" w14:paraId="0000008C">
      <w:pPr>
        <w:rPr/>
      </w:pPr>
      <w:r w:rsidDel="00000000" w:rsidR="00000000" w:rsidRPr="00000000">
        <w:rPr>
          <w:rtl w:val="0"/>
        </w:rPr>
        <w:t xml:space="preserve">growth? Evidence from developing countries. Economic Modelling, 85, 1-10.</w:t>
      </w:r>
    </w:p>
    <w:p w:rsidR="00000000" w:rsidDel="00000000" w:rsidP="00000000" w:rsidRDefault="00000000" w:rsidRPr="00000000" w14:paraId="0000008D">
      <w:pPr>
        <w:rPr/>
      </w:pPr>
      <w:hyperlink r:id="rId8">
        <w:r w:rsidDel="00000000" w:rsidR="00000000" w:rsidRPr="00000000">
          <w:rPr>
            <w:color w:val="0563c1"/>
            <w:u w:val="single"/>
            <w:rtl w:val="0"/>
          </w:rPr>
          <w:t xml:space="preserve">https://www.jstor.org/stable/41959246</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Alvarado, C. J., Cotrina, M. A., Ascate, H., Henriquez, Y. J., Sandoval, M. D.,</w:t>
      </w:r>
    </w:p>
    <w:p w:rsidR="00000000" w:rsidDel="00000000" w:rsidP="00000000" w:rsidRDefault="00000000" w:rsidRPr="00000000" w14:paraId="00000090">
      <w:pPr>
        <w:rPr/>
      </w:pPr>
      <w:r w:rsidDel="00000000" w:rsidR="00000000" w:rsidRPr="00000000">
        <w:rPr>
          <w:rtl w:val="0"/>
        </w:rPr>
        <w:t xml:space="preserve">Noriega, E. M., &amp; Rodríguez, J. C. (2022). La minería como motor de impulso</w:t>
      </w:r>
    </w:p>
    <w:p w:rsidR="00000000" w:rsidDel="00000000" w:rsidP="00000000" w:rsidRDefault="00000000" w:rsidRPr="00000000" w14:paraId="00000091">
      <w:pPr>
        <w:rPr/>
      </w:pPr>
      <w:r w:rsidDel="00000000" w:rsidR="00000000" w:rsidRPr="00000000">
        <w:rPr>
          <w:rtl w:val="0"/>
        </w:rPr>
        <w:t xml:space="preserve">en el desarrollo económico del Perú. Revista de Economía y Sociedad, 43(2),</w:t>
      </w:r>
    </w:p>
    <w:p w:rsidR="00000000" w:rsidDel="00000000" w:rsidP="00000000" w:rsidRDefault="00000000" w:rsidRPr="00000000" w14:paraId="00000092">
      <w:pPr>
        <w:rPr/>
      </w:pPr>
      <w:r w:rsidDel="00000000" w:rsidR="00000000" w:rsidRPr="00000000">
        <w:rPr>
          <w:rtl w:val="0"/>
        </w:rPr>
        <w:t xml:space="preserve">55-72. </w:t>
      </w:r>
      <w:hyperlink r:id="rId9">
        <w:r w:rsidDel="00000000" w:rsidR="00000000" w:rsidRPr="00000000">
          <w:rPr>
            <w:color w:val="0563c1"/>
            <w:u w:val="single"/>
            <w:rtl w:val="0"/>
          </w:rPr>
          <w:t xml:space="preserve">https://laccei.org/LEIRD2022-VirtualEdition/full-papers/FP49.pdf</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Arias, L. (2025). Horizontes fiscales y políticos: desafíos y retos para el nuevo</w:t>
      </w:r>
    </w:p>
    <w:p w:rsidR="00000000" w:rsidDel="00000000" w:rsidP="00000000" w:rsidRDefault="00000000" w:rsidRPr="00000000" w14:paraId="00000095">
      <w:pPr>
        <w:rPr/>
      </w:pPr>
      <w:r w:rsidDel="00000000" w:rsidR="00000000" w:rsidRPr="00000000">
        <w:rPr>
          <w:rtl w:val="0"/>
        </w:rPr>
        <w:t xml:space="preserve">gobernante del Perú. Lima: Fondo Editorial.</w:t>
      </w:r>
    </w:p>
    <w:p w:rsidR="00000000" w:rsidDel="00000000" w:rsidP="00000000" w:rsidRDefault="00000000" w:rsidRPr="00000000" w14:paraId="00000096">
      <w:pPr>
        <w:rPr>
          <w:color w:val="0563c1"/>
          <w:u w:val="single"/>
        </w:rPr>
      </w:pPr>
      <w:hyperlink r:id="rId10">
        <w:r w:rsidDel="00000000" w:rsidR="00000000" w:rsidRPr="00000000">
          <w:rPr>
            <w:color w:val="0563c1"/>
            <w:u w:val="single"/>
            <w:rtl w:val="0"/>
          </w:rPr>
          <w:t xml:space="preserve">https://isbn.bnp.gob.pe/catalogo.php?mode=detalle&amp;amp;nt=158529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Banco Central de Reserva del Perú. (2023).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Revista Moneda, N.° 195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[PDF].</w:t>
        <w:br w:type="textWrapping"/>
      </w:r>
      <w:hyperlink r:id="rId1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https://www.bcrp.gob.pe/docs/Publicaciones/Revista-Moneda/moneda-195/moneda-195-07.pdf</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Banco Mundial. (2021). Peru – Mining Sector Diagnostic. Washington, D.C.:</w:t>
      </w:r>
    </w:p>
    <w:p w:rsidR="00000000" w:rsidDel="00000000" w:rsidP="00000000" w:rsidRDefault="00000000" w:rsidRPr="00000000" w14:paraId="00000099">
      <w:pPr>
        <w:rPr/>
      </w:pPr>
      <w:r w:rsidDel="00000000" w:rsidR="00000000" w:rsidRPr="00000000">
        <w:rPr>
          <w:rtl w:val="0"/>
        </w:rPr>
        <w:t xml:space="preserve">World Bank Group.</w:t>
      </w:r>
    </w:p>
    <w:p w:rsidR="00000000" w:rsidDel="00000000" w:rsidP="00000000" w:rsidRDefault="00000000" w:rsidRPr="00000000" w14:paraId="0000009A">
      <w:pPr>
        <w:rPr/>
      </w:pPr>
      <w:hyperlink r:id="rId12">
        <w:r w:rsidDel="00000000" w:rsidR="00000000" w:rsidRPr="00000000">
          <w:rPr>
            <w:color w:val="0563c1"/>
            <w:u w:val="single"/>
            <w:rtl w:val="0"/>
          </w:rPr>
          <w:t xml:space="preserve">https://documentos.bancomundial.org/es/publication/documents-reports/documentdetail/448141632473923087</w:t>
        </w:r>
      </w:hyperlink>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Byrne, J. P., &amp; Sakemoto, R. (2022). Commodity correlation risk: An empirical</w:t>
      </w:r>
    </w:p>
    <w:p w:rsidR="00000000" w:rsidDel="00000000" w:rsidP="00000000" w:rsidRDefault="00000000" w:rsidRPr="00000000" w14:paraId="0000009D">
      <w:pPr>
        <w:rPr/>
      </w:pPr>
      <w:r w:rsidDel="00000000" w:rsidR="00000000" w:rsidRPr="00000000">
        <w:rPr>
          <w:rtl w:val="0"/>
        </w:rPr>
        <w:t xml:space="preserve">analysis. Journal of Commodity Markets, 25, 100202.</w:t>
      </w:r>
    </w:p>
    <w:p w:rsidR="00000000" w:rsidDel="00000000" w:rsidP="00000000" w:rsidRDefault="00000000" w:rsidRPr="00000000" w14:paraId="0000009E">
      <w:pPr>
        <w:rPr/>
      </w:pPr>
      <w:hyperlink r:id="rId13">
        <w:r w:rsidDel="00000000" w:rsidR="00000000" w:rsidRPr="00000000">
          <w:rPr>
            <w:color w:val="0563c1"/>
            <w:u w:val="single"/>
            <w:rtl w:val="0"/>
          </w:rPr>
          <w:t xml:space="preserve">https://www.sciencedirect.com/science/article/abs/pii/S2405851325000170</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Campos Arias, M. A. (2020). Fondo de estabilización del canon minero en el</w:t>
      </w:r>
    </w:p>
    <w:p w:rsidR="00000000" w:rsidDel="00000000" w:rsidP="00000000" w:rsidRDefault="00000000" w:rsidRPr="00000000" w14:paraId="000000A1">
      <w:pPr>
        <w:rPr/>
      </w:pPr>
      <w:r w:rsidDel="00000000" w:rsidR="00000000" w:rsidRPr="00000000">
        <w:rPr>
          <w:rtl w:val="0"/>
        </w:rPr>
        <w:t xml:space="preserve">Perú [Tesis de maestría, Pontificia Universidad Católica del Perú].</w:t>
      </w:r>
    </w:p>
    <w:p w:rsidR="00000000" w:rsidDel="00000000" w:rsidP="00000000" w:rsidRDefault="00000000" w:rsidRPr="00000000" w14:paraId="000000A2">
      <w:pPr>
        <w:rPr/>
      </w:pPr>
      <w:hyperlink r:id="rId14">
        <w:r w:rsidDel="00000000" w:rsidR="00000000" w:rsidRPr="00000000">
          <w:rPr>
            <w:color w:val="0563c1"/>
            <w:u w:val="single"/>
            <w:rtl w:val="0"/>
          </w:rPr>
          <w:t xml:space="preserve">https://core.ac.uk/download/pdf/389471207.pdf</w:t>
        </w:r>
      </w:hyperlink>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Congreso de la República del Perú. (2019).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Transferencias por tipo de canon, regalías, participaciones y otros. 2004–2019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[Documento PDF].</w:t>
        <w:br w:type="textWrapping"/>
      </w:r>
      <w:hyperlink r:id="rId15">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https://www.congreso.gob.pe/Docs/DGP/Comisiones/files/publicaciones/canonmunicipalidades_090519_2.pdf</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Contraloría General de la República. (2024, 27 de febrero).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Corrupción e inconducta funcional habrían ocasionado pérdidas por S/ 24 268 millones en el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r>
      <w:hyperlink r:id="rId16">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https://www.gob.pe/institucion/contraloria/noticias/912182-corrupcion-e-inconducta-funcional-habrian-ocasionado-perdidas-por-s-24-268-millones-en-el-2023</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Cruz-Lauracio, J., &amp; Garabito-Monteagudo, E. (2025). El canon minero y el</w:t>
      </w:r>
    </w:p>
    <w:p w:rsidR="00000000" w:rsidDel="00000000" w:rsidP="00000000" w:rsidRDefault="00000000" w:rsidRPr="00000000" w14:paraId="000000A6">
      <w:pPr>
        <w:rPr/>
      </w:pPr>
      <w:r w:rsidDel="00000000" w:rsidR="00000000" w:rsidRPr="00000000">
        <w:rPr>
          <w:rtl w:val="0"/>
        </w:rPr>
        <w:t xml:space="preserve">desarrollo socioeconómico en las regiones del Perú. Revista Gestionar, 5(2),</w:t>
      </w:r>
    </w:p>
    <w:p w:rsidR="00000000" w:rsidDel="00000000" w:rsidP="00000000" w:rsidRDefault="00000000" w:rsidRPr="00000000" w14:paraId="000000A7">
      <w:pPr>
        <w:rPr/>
      </w:pPr>
      <w:r w:rsidDel="00000000" w:rsidR="00000000" w:rsidRPr="00000000">
        <w:rPr>
          <w:rtl w:val="0"/>
        </w:rPr>
        <w:t xml:space="preserve">19-31. </w:t>
      </w:r>
      <w:hyperlink r:id="rId17">
        <w:r w:rsidDel="00000000" w:rsidR="00000000" w:rsidRPr="00000000">
          <w:rPr>
            <w:color w:val="0563c1"/>
            <w:u w:val="single"/>
            <w:rtl w:val="0"/>
          </w:rPr>
          <w:t xml:space="preserve">https://doi.org/10.35622/j.rg.2025.02.002</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Hernández Verme, P. L., &amp; Herrera Madrid, P. (2018). </w:t>
      </w:r>
      <w:r w:rsidDel="00000000" w:rsidR="00000000" w:rsidRPr="00000000">
        <w:rPr>
          <w:i w:val="1"/>
          <w:iCs w:val="1"/>
          <w:rtl w:val="0"/>
        </w:rPr>
        <w:t xml:space="preserve">Corrupción, gobernabilidad y crecimiento económico: Un estudio empírico</w:t>
      </w:r>
      <w:r w:rsidDel="00000000" w:rsidR="00000000" w:rsidRPr="00000000">
        <w:rPr>
          <w:rtl w:val="0"/>
        </w:rPr>
        <w:t xml:space="preserve">. Acta Universitaria, 28(NE-1), 24–34. </w:t>
      </w:r>
      <w:hyperlink r:id="rId18">
        <w:r w:rsidDel="00000000" w:rsidR="00000000" w:rsidRPr="00000000">
          <w:rPr>
            <w:color w:val="0563c1"/>
            <w:u w:val="single"/>
            <w:rtl w:val="0"/>
          </w:rPr>
          <w:t xml:space="preserve">https://doi.org/10.15174/au.2018.2006</w:t>
        </w:r>
      </w:hyperlink>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Huancas Donayre, F. J., Rondón Márquez, P. E., &amp; Riquelme Fernández, L.</w:t>
      </w:r>
    </w:p>
    <w:p w:rsidR="00000000" w:rsidDel="00000000" w:rsidP="00000000" w:rsidRDefault="00000000" w:rsidRPr="00000000" w14:paraId="000000AC">
      <w:pPr>
        <w:rPr/>
      </w:pPr>
      <w:r w:rsidDel="00000000" w:rsidR="00000000" w:rsidRPr="00000000">
        <w:rPr>
          <w:rtl w:val="0"/>
        </w:rPr>
        <w:t xml:space="preserve">(2022). Las transferencias del canon minero y su efecto sobre el ingreso y</w:t>
      </w:r>
    </w:p>
    <w:p w:rsidR="00000000" w:rsidDel="00000000" w:rsidP="00000000" w:rsidRDefault="00000000" w:rsidRPr="00000000" w14:paraId="000000AD">
      <w:pPr>
        <w:rPr/>
      </w:pPr>
      <w:r w:rsidDel="00000000" w:rsidR="00000000" w:rsidRPr="00000000">
        <w:rPr>
          <w:rtl w:val="0"/>
        </w:rPr>
        <w:t xml:space="preserve">empleo en el Perú. Revista de Economía del Desarrollo, 9(1), 45-67.</w:t>
      </w:r>
    </w:p>
    <w:p w:rsidR="00000000" w:rsidDel="00000000" w:rsidP="00000000" w:rsidRDefault="00000000" w:rsidRPr="00000000" w14:paraId="000000AE">
      <w:pPr>
        <w:rPr/>
      </w:pPr>
      <w:hyperlink r:id="rId19">
        <w:r w:rsidDel="00000000" w:rsidR="00000000" w:rsidRPr="00000000">
          <w:rPr>
            <w:color w:val="0563c1"/>
            <w:u w:val="single"/>
            <w:rtl w:val="0"/>
          </w:rPr>
          <w:t xml:space="preserve">https://repositorio.up.edu.pe/backend/api/core/bitstreams/9c9f707a-edfd-40e2-8073-8df1c916f146/content</w:t>
        </w:r>
      </w:hyperlink>
      <w:r w:rsidDel="00000000" w:rsidR="00000000" w:rsidRPr="00000000">
        <w:rPr>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Nacional de Estadística e Informática.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Perú: Perfil de pobreza por dominios geográficos, 2013-2023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[Informe].</w:t>
        <w:br w:type="textWrapping"/>
      </w:r>
      <w:hyperlink r:id="rId2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https://cdn.www.gob.pe/uploads/document/file/7328537/6256563-perfil-pobreza-dominios-geograficos-2013-2023.pdf</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Nacional de Estadística e Informática. (2024, 28 de febrero).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Perú: Percepción ciudadana sobre gobernabilidad, democracia y confianza en las instituciones — Semestre móvil julio-diciembre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[Informe técnico].</w:t>
        <w:br w:type="textWrapping"/>
      </w:r>
      <w:hyperlink r:id="rId2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https://m.inei.gob.pe/media/MenuRecursivo/boletines/informe-tecnico-de-gobernabilidad-jul-dic-2023-febrero-2024-28-febrero.pdf</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N.° 28322. (2004).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Ley que modifica diversos artículos de la Ley del Impuesto a la Renta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Peruano, Perú, 2 de agosto de 2004).</w:t>
        <w:br w:type="textWrapping"/>
      </w:r>
      <w:hyperlink r:id="rId22">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https://www.leyes.congreso.gob.pe/Documentos/Leyes/28322.pdf</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Maldonado, S. (2011). Boom minero y corrupción de funcionarios públicos de</w:t>
      </w:r>
    </w:p>
    <w:p w:rsidR="00000000" w:rsidDel="00000000" w:rsidP="00000000" w:rsidRDefault="00000000" w:rsidRPr="00000000" w14:paraId="000000B3">
      <w:pPr>
        <w:rPr/>
      </w:pPr>
      <w:r w:rsidDel="00000000" w:rsidR="00000000" w:rsidRPr="00000000">
        <w:rPr>
          <w:rtl w:val="0"/>
        </w:rPr>
        <w:t xml:space="preserve">los gobiernos locales en el Perú: evidencia de un experimento natural. Revista</w:t>
      </w:r>
    </w:p>
    <w:p w:rsidR="00000000" w:rsidDel="00000000" w:rsidP="00000000" w:rsidRDefault="00000000" w:rsidRPr="00000000" w14:paraId="000000B4">
      <w:pPr>
        <w:rPr/>
      </w:pPr>
      <w:r w:rsidDel="00000000" w:rsidR="00000000" w:rsidRPr="00000000">
        <w:rPr>
          <w:rtl w:val="0"/>
        </w:rPr>
        <w:t xml:space="preserve">Estudios Económicos del BCRP, 35, 1-20. </w:t>
      </w:r>
      <w:hyperlink r:id="rId23">
        <w:r w:rsidDel="00000000" w:rsidR="00000000" w:rsidRPr="00000000">
          <w:rPr>
            <w:color w:val="0563c1"/>
            <w:u w:val="single"/>
            <w:rtl w:val="0"/>
          </w:rPr>
          <w:t xml:space="preserve">https://cies.org.pe/wp-content/uploads/2016/07/boom_minero_y_corrupcion_de_funcionarios_publicos_0.pdf</w:t>
        </w:r>
      </w:hyperlink>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Mendoza, W., &amp; Anastasio, Y. (2021). La historia fiscal del Perú: 1980-2020.</w:t>
      </w:r>
    </w:p>
    <w:p w:rsidR="00000000" w:rsidDel="00000000" w:rsidP="00000000" w:rsidRDefault="00000000" w:rsidRPr="00000000" w14:paraId="000000B7">
      <w:pPr>
        <w:rPr/>
      </w:pPr>
      <w:r w:rsidDel="00000000" w:rsidR="00000000" w:rsidRPr="00000000">
        <w:rPr>
          <w:rtl w:val="0"/>
        </w:rPr>
        <w:t xml:space="preserve">Colapso, estabilización, consolidación y el golpe de la COVID-19. Lima: Fondo</w:t>
      </w:r>
    </w:p>
    <w:p w:rsidR="00000000" w:rsidDel="00000000" w:rsidP="00000000" w:rsidRDefault="00000000" w:rsidRPr="00000000" w14:paraId="000000B8">
      <w:pPr>
        <w:rPr/>
      </w:pPr>
      <w:r w:rsidDel="00000000" w:rsidR="00000000" w:rsidRPr="00000000">
        <w:rPr>
          <w:rtl w:val="0"/>
        </w:rPr>
        <w:t xml:space="preserve">Editorial PUCP. </w:t>
      </w:r>
      <w:hyperlink r:id="rId24">
        <w:r w:rsidDel="00000000" w:rsidR="00000000" w:rsidRPr="00000000">
          <w:rPr>
            <w:color w:val="0563c1"/>
            <w:u w:val="single"/>
            <w:rtl w:val="0"/>
          </w:rPr>
          <w:t xml:space="preserve">https://researchs.pucp.elogim.com/c/d6owsy/ebook-viewer/epub/vbbgdlgptv/section/navpoint3?auth-callid=5413b583-61ed-4c59-a994-41d440a14f92</w:t>
        </w:r>
      </w:hyperlink>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RPP. (2025, 30 de agosto). </w:t>
      </w:r>
      <w:r w:rsidDel="00000000" w:rsidR="00000000" w:rsidRPr="00000000">
        <w:rPr>
          <w:i w:val="1"/>
          <w:iCs w:val="1"/>
          <w:rtl w:val="0"/>
        </w:rPr>
        <w:t xml:space="preserve">Cobre y oro representaron el 54 % de las exportaciones peruanas entre enero y mayo de 2025</w:t>
      </w:r>
      <w:r w:rsidDel="00000000" w:rsidR="00000000" w:rsidRPr="00000000">
        <w:rPr>
          <w:rtl w:val="0"/>
        </w:rPr>
        <w:t xml:space="preserve">. RPP.</w:t>
        <w:br w:type="textWrapping"/>
      </w:r>
      <w:hyperlink r:id="rId25">
        <w:r w:rsidDel="00000000" w:rsidR="00000000" w:rsidRPr="00000000">
          <w:rPr>
            <w:color w:val="0563c1"/>
            <w:u w:val="single"/>
            <w:rtl w:val="0"/>
          </w:rPr>
          <w:t xml:space="preserve">https://rpp.pe/economia/economia/minem-cobre-y-oro-representaron-el-54-de-las-exportaciones-peruanas-entre-enero-y-mayo-de-2025-noticia-1653008</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Sanguinetti, P. (2010). Canon minero y decisiones fiscales subnacionales en el</w:t>
      </w:r>
    </w:p>
    <w:p w:rsidR="00000000" w:rsidDel="00000000" w:rsidP="00000000" w:rsidRDefault="00000000" w:rsidRPr="00000000" w14:paraId="000000BD">
      <w:pPr>
        <w:rPr/>
      </w:pPr>
      <w:r w:rsidDel="00000000" w:rsidR="00000000" w:rsidRPr="00000000">
        <w:rPr>
          <w:rtl w:val="0"/>
        </w:rPr>
        <w:t xml:space="preserve">Perú. Caracas: CAF. </w:t>
      </w:r>
      <w:hyperlink r:id="rId26">
        <w:r w:rsidDel="00000000" w:rsidR="00000000" w:rsidRPr="00000000">
          <w:rPr>
            <w:color w:val="0563c1"/>
            <w:u w:val="single"/>
            <w:rtl w:val="0"/>
          </w:rPr>
          <w:t xml:space="preserve">https://scioteca.caf.com/handle/123456789/204</w:t>
        </w:r>
      </w:hyperlink>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Sena Carhuamaca, D. A. (2019). Eficiencia económica del gasto de inversión</w:t>
      </w:r>
    </w:p>
    <w:p w:rsidR="00000000" w:rsidDel="00000000" w:rsidP="00000000" w:rsidRDefault="00000000" w:rsidRPr="00000000" w14:paraId="000000C0">
      <w:pPr>
        <w:rPr/>
      </w:pPr>
      <w:r w:rsidDel="00000000" w:rsidR="00000000" w:rsidRPr="00000000">
        <w:rPr>
          <w:rtl w:val="0"/>
        </w:rPr>
        <w:t xml:space="preserve">pública financiado con recursos del canon minero en el Perú, 2004–2015 [Tesis</w:t>
      </w:r>
    </w:p>
    <w:p w:rsidR="00000000" w:rsidDel="00000000" w:rsidP="00000000" w:rsidRDefault="00000000" w:rsidRPr="00000000" w14:paraId="000000C1">
      <w:pPr>
        <w:rPr/>
      </w:pPr>
      <w:r w:rsidDel="00000000" w:rsidR="00000000" w:rsidRPr="00000000">
        <w:rPr>
          <w:rtl w:val="0"/>
        </w:rPr>
        <w:t xml:space="preserve">de licenciatura, Universidad Nacional Agraria La Molina].</w:t>
      </w:r>
    </w:p>
    <w:p w:rsidR="00000000" w:rsidDel="00000000" w:rsidP="00000000" w:rsidRDefault="00000000" w:rsidRPr="00000000" w14:paraId="000000C2">
      <w:pPr>
        <w:rPr/>
      </w:pPr>
      <w:hyperlink r:id="rId27">
        <w:r w:rsidDel="00000000" w:rsidR="00000000" w:rsidRPr="00000000">
          <w:rPr>
            <w:color w:val="0563c1"/>
            <w:u w:val="single"/>
            <w:rtl w:val="0"/>
          </w:rPr>
          <w:t xml:space="preserve">https://repositorio.lamolina.edu.pe/items/772de211-383f-4fea-88df-130f57aa4c0a</w:t>
        </w:r>
      </w:hyperlink>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Şen, A., Akpolat, M., &amp; Balkan, D. (2024). Commodity prices and economic</w:t>
      </w:r>
    </w:p>
    <w:p w:rsidR="00000000" w:rsidDel="00000000" w:rsidP="00000000" w:rsidRDefault="00000000" w:rsidRPr="00000000" w14:paraId="000000C5">
      <w:pPr>
        <w:rPr/>
      </w:pPr>
      <w:r w:rsidDel="00000000" w:rsidR="00000000" w:rsidRPr="00000000">
        <w:rPr>
          <w:rtl w:val="0"/>
        </w:rPr>
        <w:t xml:space="preserve">growth: Empirical evidence from countries with different income levels.</w:t>
      </w:r>
    </w:p>
    <w:p w:rsidR="00000000" w:rsidDel="00000000" w:rsidP="00000000" w:rsidRDefault="00000000" w:rsidRPr="00000000" w14:paraId="000000C6">
      <w:pPr>
        <w:rPr/>
      </w:pPr>
      <w:r w:rsidDel="00000000" w:rsidR="00000000" w:rsidRPr="00000000">
        <w:rPr>
          <w:rtl w:val="0"/>
        </w:rPr>
        <w:t xml:space="preserve">Resources Policy, 87, 107042.</w:t>
      </w:r>
    </w:p>
    <w:p w:rsidR="00000000" w:rsidDel="00000000" w:rsidP="00000000" w:rsidRDefault="00000000" w:rsidRPr="00000000" w14:paraId="000000C7">
      <w:pPr>
        <w:rPr/>
      </w:pPr>
      <w:hyperlink r:id="rId28">
        <w:r w:rsidDel="00000000" w:rsidR="00000000" w:rsidRPr="00000000">
          <w:rPr>
            <w:color w:val="0563c1"/>
            <w:u w:val="single"/>
            <w:rtl w:val="0"/>
          </w:rPr>
          <w:t xml:space="preserve">https://www.sciencedirect.com/science/article/pii/S2405844024100692</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Távara, J. (2012). Economía de la corrupción. En La lucha anticorrupción como</w:t>
      </w:r>
    </w:p>
    <w:p w:rsidR="00000000" w:rsidDel="00000000" w:rsidP="00000000" w:rsidRDefault="00000000" w:rsidRPr="00000000" w14:paraId="000000CA">
      <w:pPr>
        <w:rPr/>
      </w:pPr>
      <w:r w:rsidDel="00000000" w:rsidR="00000000" w:rsidRPr="00000000">
        <w:rPr>
          <w:rtl w:val="0"/>
        </w:rPr>
        <w:t xml:space="preserve">política de Estado (pp. 41-63). Lima: Fondo Editorial PUCP.</w:t>
      </w:r>
    </w:p>
    <w:p w:rsidR="00000000" w:rsidDel="00000000" w:rsidP="00000000" w:rsidRDefault="00000000" w:rsidRPr="00000000" w14:paraId="000000CB">
      <w:pPr>
        <w:rPr/>
      </w:pPr>
      <w:hyperlink r:id="rId29">
        <w:r w:rsidDel="00000000" w:rsidR="00000000" w:rsidRPr="00000000">
          <w:rPr>
            <w:color w:val="0563c1"/>
            <w:u w:val="single"/>
            <w:rtl w:val="0"/>
          </w:rPr>
          <w:t xml:space="preserve">https://hdl.handle.net/20.500.14657/173133</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Vargas, J. A. (2015). ¿Existe un impacto significativo de la distribución del</w:t>
      </w:r>
    </w:p>
    <w:p w:rsidR="00000000" w:rsidDel="00000000" w:rsidP="00000000" w:rsidRDefault="00000000" w:rsidRPr="00000000" w14:paraId="000000CE">
      <w:pPr>
        <w:rPr/>
      </w:pPr>
      <w:r w:rsidDel="00000000" w:rsidR="00000000" w:rsidRPr="00000000">
        <w:rPr>
          <w:rtl w:val="0"/>
        </w:rPr>
        <w:t xml:space="preserve">canon minero en las inversiones públicas regionales en el Perú? [Tesis de</w:t>
      </w:r>
    </w:p>
    <w:p w:rsidR="00000000" w:rsidDel="00000000" w:rsidP="00000000" w:rsidRDefault="00000000" w:rsidRPr="00000000" w14:paraId="000000CF">
      <w:pPr>
        <w:rPr/>
      </w:pPr>
      <w:r w:rsidDel="00000000" w:rsidR="00000000" w:rsidRPr="00000000">
        <w:rPr>
          <w:rtl w:val="0"/>
        </w:rPr>
        <w:t xml:space="preserve">maestría, Universitat de Barcelona].</w:t>
      </w:r>
    </w:p>
    <w:p w:rsidR="00000000" w:rsidDel="00000000" w:rsidP="00000000" w:rsidRDefault="00000000" w:rsidRPr="00000000" w14:paraId="000000D0">
      <w:pPr>
        <w:rPr/>
      </w:pPr>
      <w:hyperlink r:id="rId30">
        <w:r w:rsidDel="00000000" w:rsidR="00000000" w:rsidRPr="00000000">
          <w:rPr>
            <w:color w:val="0563c1"/>
            <w:u w:val="single"/>
            <w:rtl w:val="0"/>
          </w:rPr>
          <w:t xml:space="preserve">https://diposit.ub.edu/dspace/handle/2445/66469</w:t>
        </w:r>
      </w:hyperlink>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Zegarra, E. (2024). Gran minería y transformaciones productivas en distritos</w:t>
      </w:r>
    </w:p>
    <w:p w:rsidR="00000000" w:rsidDel="00000000" w:rsidP="00000000" w:rsidRDefault="00000000" w:rsidRPr="00000000" w14:paraId="000000D3">
      <w:pPr>
        <w:rPr/>
      </w:pPr>
      <w:r w:rsidDel="00000000" w:rsidR="00000000" w:rsidRPr="00000000">
        <w:rPr>
          <w:rtl w:val="0"/>
        </w:rPr>
        <w:t xml:space="preserve">mineros en el Perú: un análisis del periodo 2001-2019. Lima: Grade.</w:t>
      </w:r>
    </w:p>
    <w:p w:rsidR="00000000" w:rsidDel="00000000" w:rsidP="00000000" w:rsidRDefault="00000000" w:rsidRPr="00000000" w14:paraId="000000D4">
      <w:pPr>
        <w:rPr/>
      </w:pPr>
      <w:hyperlink r:id="rId31">
        <w:r w:rsidDel="00000000" w:rsidR="00000000" w:rsidRPr="00000000">
          <w:rPr>
            <w:color w:val="0563c1"/>
            <w:u w:val="single"/>
            <w:rtl w:val="0"/>
          </w:rPr>
          <w:t xml:space="preserve">https://grade.org.pe/publicaciones/transiciones-movilizacion-ciudadana-y-cambios-institucionales-lecciones-desde-territorios-con-mineria-a-gran-escala-en-el-peru-colombia-y-chile/</w:t>
        </w:r>
      </w:hyperlink>
      <w:r w:rsidDel="00000000" w:rsidR="00000000" w:rsidRPr="00000000">
        <w:rPr>
          <w:rtl w:val="0"/>
        </w:rPr>
        <w:t xml:space="preserve"> </w:t>
      </w:r>
    </w:p>
    <w:p w:rsidR="00000000" w:rsidDel="00000000" w:rsidP="00000000" w:rsidRDefault="00000000" w:rsidRPr="00000000" w14:paraId="000000D5">
      <w:pPr>
        <w:widowControl w:val="1"/>
        <w:spacing w:after="160" w:line="259" w:lineRule="auto"/>
        <w:rPr/>
      </w:pPr>
      <w:r w:rsidDel="00000000" w:rsidR="00000000" w:rsidRPr="00000000">
        <w:rPr>
          <w:rtl w:val="0"/>
        </w:rPr>
      </w:r>
    </w:p>
    <w:p w:rsidR="00000000" w:rsidDel="00000000" w:rsidP="00000000" w:rsidRDefault="00000000" w:rsidRPr="00000000" w14:paraId="000000D6">
      <w:pPr>
        <w:widowControl w:val="1"/>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7">
      <w:pPr>
        <w:widowControl w:val="1"/>
        <w:spacing w:after="160" w:line="259" w:lineRule="auto"/>
        <w:jc w:val="center"/>
        <w:rPr>
          <w:b w:val="1"/>
          <w:bCs w:val="1"/>
        </w:rPr>
      </w:pPr>
      <w:r w:rsidDel="00000000" w:rsidR="00000000" w:rsidRPr="00000000">
        <w:rPr>
          <w:b w:val="1"/>
          <w:bCs w:val="1"/>
          <w:rtl w:val="0"/>
        </w:rPr>
        <w:t xml:space="preserve">Anexos</w:t>
      </w:r>
    </w:p>
    <w:p w:rsidR="00000000" w:rsidDel="00000000" w:rsidP="00000000" w:rsidRDefault="00000000" w:rsidRPr="00000000" w14:paraId="000000D8">
      <w:pPr>
        <w:rPr>
          <w:i w:val="1"/>
          <w:iCs w:val="1"/>
        </w:rPr>
      </w:pPr>
      <w:r w:rsidDel="00000000" w:rsidR="00000000" w:rsidRPr="00000000">
        <w:rPr>
          <w:i w:val="1"/>
          <w:iCs w:val="1"/>
          <w:rtl w:val="0"/>
        </w:rPr>
        <w:t xml:space="preserve">Anexo 1: Variables de interés</w:t>
      </w:r>
    </w:p>
    <w:p w:rsidR="00000000" w:rsidDel="00000000" w:rsidP="00000000" w:rsidRDefault="00000000" w:rsidRPr="00000000" w14:paraId="000000D9">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188"/>
        <w:gridCol w:w="6058"/>
        <w:tblGridChange w:id="0">
          <w:tblGrid>
            <w:gridCol w:w="1582"/>
            <w:gridCol w:w="1188"/>
            <w:gridCol w:w="6058"/>
          </w:tblGrid>
        </w:tblGridChange>
      </w:tblGrid>
      <w:tr>
        <w:trPr>
          <w:cantSplit w:val="0"/>
          <w:tblHeader w:val="0"/>
        </w:trPr>
        <w:tc>
          <w:tcPr>
            <w:gridSpan w:val="3"/>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Tabla A1. Variables de interés</w:t>
            </w:r>
          </w:p>
        </w:tc>
      </w:tr>
      <w:tr>
        <w:trPr>
          <w:cantSplit w:val="0"/>
          <w:tblHeader w:val="0"/>
        </w:trPr>
        <w:tc>
          <w:tcPr/>
          <w:p w:rsidR="00000000" w:rsidDel="00000000" w:rsidP="00000000" w:rsidRDefault="00000000" w:rsidRPr="00000000" w14:paraId="000000DD">
            <w:pPr>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Fuente</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Definición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PBI per cápita (logaritmo)</w:t>
            </w:r>
          </w:p>
        </w:tc>
        <w:tc>
          <w:tcPr/>
          <w:p w:rsidR="00000000" w:rsidDel="00000000" w:rsidP="00000000" w:rsidRDefault="00000000" w:rsidRPr="00000000" w14:paraId="000000E1">
            <w:pPr>
              <w:rPr/>
            </w:pPr>
            <w:r w:rsidDel="00000000" w:rsidR="00000000" w:rsidRPr="00000000">
              <w:rPr>
                <w:rtl w:val="0"/>
              </w:rPr>
              <w:t xml:space="preserve">INEI</w:t>
            </w:r>
          </w:p>
        </w:tc>
        <w:tc>
          <w:tcPr/>
          <w:p w:rsidR="00000000" w:rsidDel="00000000" w:rsidP="00000000" w:rsidRDefault="00000000" w:rsidRPr="00000000" w14:paraId="000000E2">
            <w:pPr>
              <w:rPr/>
            </w:pPr>
            <w:r w:rsidDel="00000000" w:rsidR="00000000" w:rsidRPr="00000000">
              <w:rPr>
                <w:rtl w:val="0"/>
              </w:rPr>
              <w:t xml:space="preserve">Variable continua. Logaritmo natural del PBI per cápita real de la región i en el año t. Mide el nivel de crecimiento económico regional.</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Corrupción</w:t>
            </w:r>
          </w:p>
        </w:tc>
        <w:tc>
          <w:tcPr/>
          <w:p w:rsidR="00000000" w:rsidDel="00000000" w:rsidP="00000000" w:rsidRDefault="00000000" w:rsidRPr="00000000" w14:paraId="000000E4">
            <w:pPr>
              <w:rPr/>
            </w:pPr>
            <w:r w:rsidDel="00000000" w:rsidR="00000000" w:rsidRPr="00000000">
              <w:rPr>
                <w:rtl w:val="0"/>
              </w:rPr>
              <w:t xml:space="preserve">Contraloría</w:t>
            </w:r>
          </w:p>
        </w:tc>
        <w:tc>
          <w:tcPr/>
          <w:p w:rsidR="00000000" w:rsidDel="00000000" w:rsidP="00000000" w:rsidRDefault="00000000" w:rsidRPr="00000000" w14:paraId="000000E5">
            <w:pPr>
              <w:rPr/>
            </w:pPr>
            <w:r w:rsidDel="00000000" w:rsidR="00000000" w:rsidRPr="00000000">
              <w:rPr>
                <w:rtl w:val="0"/>
              </w:rPr>
              <w:t xml:space="preserve">Variable continua. Número de casos registrados de corrupción en cada región por año, estandarizado por cada 100 mil habitantes.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Canon (transferido y/o presupuestado)</w:t>
            </w:r>
          </w:p>
        </w:tc>
        <w:tc>
          <w:tcPr/>
          <w:p w:rsidR="00000000" w:rsidDel="00000000" w:rsidP="00000000" w:rsidRDefault="00000000" w:rsidRPr="00000000" w14:paraId="000000E7">
            <w:pPr>
              <w:rPr/>
            </w:pPr>
            <w:r w:rsidDel="00000000" w:rsidR="00000000" w:rsidRPr="00000000">
              <w:rPr>
                <w:rtl w:val="0"/>
              </w:rPr>
              <w:t xml:space="preserve">MEF – Consulta Amigable</w:t>
            </w:r>
          </w:p>
        </w:tc>
        <w:tc>
          <w:tcPr/>
          <w:p w:rsidR="00000000" w:rsidDel="00000000" w:rsidP="00000000" w:rsidRDefault="00000000" w:rsidRPr="00000000" w14:paraId="000000E8">
            <w:pPr>
              <w:rPr/>
            </w:pPr>
            <w:r w:rsidDel="00000000" w:rsidR="00000000" w:rsidRPr="00000000">
              <w:rPr>
                <w:rtl w:val="0"/>
              </w:rPr>
              <w:t xml:space="preserve">Monto anual del canon minero presupuestado para cada región. Expresado en miles de soles constantes.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Canon ejecutado</w:t>
            </w:r>
          </w:p>
        </w:tc>
        <w:tc>
          <w:tcPr/>
          <w:p w:rsidR="00000000" w:rsidDel="00000000" w:rsidP="00000000" w:rsidRDefault="00000000" w:rsidRPr="00000000" w14:paraId="000000EA">
            <w:pPr>
              <w:rPr/>
            </w:pPr>
            <w:r w:rsidDel="00000000" w:rsidR="00000000" w:rsidRPr="00000000">
              <w:rPr>
                <w:rtl w:val="0"/>
              </w:rPr>
              <w:t xml:space="preserve">MEF – SIAF</w:t>
            </w:r>
          </w:p>
        </w:tc>
        <w:tc>
          <w:tcPr/>
          <w:p w:rsidR="00000000" w:rsidDel="00000000" w:rsidP="00000000" w:rsidRDefault="00000000" w:rsidRPr="00000000" w14:paraId="000000EB">
            <w:pPr>
              <w:rPr/>
            </w:pPr>
            <w:r w:rsidDel="00000000" w:rsidR="00000000" w:rsidRPr="00000000">
              <w:rPr>
                <w:rtl w:val="0"/>
              </w:rPr>
              <w:t xml:space="preserve">Porcentaje de ejecución anual del presupuesto de canon minero en la región i. </w:t>
            </w:r>
            <w:hyperlink r:id="rId32">
              <w:r w:rsidDel="00000000" w:rsidR="00000000" w:rsidRPr="00000000">
                <w:rPr>
                  <w:color w:val="0563c1"/>
                  <w:u w:val="single"/>
                  <w:rtl w:val="0"/>
                </w:rPr>
                <w:t xml:space="preserve">https://apps5.mineco.gob.pe/transparencia/Navegador/default.aspx</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Pobreza</w:t>
            </w:r>
          </w:p>
        </w:tc>
        <w:tc>
          <w:tcPr/>
          <w:p w:rsidR="00000000" w:rsidDel="00000000" w:rsidP="00000000" w:rsidRDefault="00000000" w:rsidRPr="00000000" w14:paraId="000000ED">
            <w:pPr>
              <w:rPr/>
            </w:pPr>
            <w:r w:rsidDel="00000000" w:rsidR="00000000" w:rsidRPr="00000000">
              <w:rPr>
                <w:rtl w:val="0"/>
              </w:rPr>
              <w:t xml:space="preserve">ENAHO</w:t>
            </w:r>
          </w:p>
        </w:tc>
        <w:tc>
          <w:tcPr/>
          <w:p w:rsidR="00000000" w:rsidDel="00000000" w:rsidP="00000000" w:rsidRDefault="00000000" w:rsidRPr="00000000" w14:paraId="000000EE">
            <w:pPr>
              <w:rPr/>
            </w:pPr>
            <w:r w:rsidDel="00000000" w:rsidR="00000000" w:rsidRPr="00000000">
              <w:rPr>
                <w:rtl w:val="0"/>
              </w:rPr>
              <w:t xml:space="preserve">Tasa oficial de pobreza monetaria regional anual. Porcentaje de hogares debajo de la línea de pobreza.</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Desempleo</w:t>
            </w:r>
          </w:p>
        </w:tc>
        <w:tc>
          <w:tcPr/>
          <w:p w:rsidR="00000000" w:rsidDel="00000000" w:rsidP="00000000" w:rsidRDefault="00000000" w:rsidRPr="00000000" w14:paraId="000000F0">
            <w:pPr>
              <w:rPr/>
            </w:pPr>
            <w:r w:rsidDel="00000000" w:rsidR="00000000" w:rsidRPr="00000000">
              <w:rPr>
                <w:rtl w:val="0"/>
              </w:rPr>
              <w:t xml:space="preserve">ENAHO</w:t>
            </w:r>
          </w:p>
        </w:tc>
        <w:tc>
          <w:tcPr/>
          <w:p w:rsidR="00000000" w:rsidDel="00000000" w:rsidP="00000000" w:rsidRDefault="00000000" w:rsidRPr="00000000" w14:paraId="000000F1">
            <w:pPr>
              <w:rPr/>
            </w:pPr>
            <w:r w:rsidDel="00000000" w:rsidR="00000000" w:rsidRPr="00000000">
              <w:rPr>
                <w:rtl w:val="0"/>
              </w:rPr>
              <w:t xml:space="preserve">Tasa de desempleo regional (población económicamente activa desocupada sobre PEA).</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Peculado</w:t>
            </w:r>
          </w:p>
        </w:tc>
        <w:tc>
          <w:tcPr/>
          <w:p w:rsidR="00000000" w:rsidDel="00000000" w:rsidP="00000000" w:rsidRDefault="00000000" w:rsidRPr="00000000" w14:paraId="000000F3">
            <w:pPr>
              <w:rPr/>
            </w:pPr>
            <w:r w:rsidDel="00000000" w:rsidR="00000000" w:rsidRPr="00000000">
              <w:rPr>
                <w:rtl w:val="0"/>
              </w:rPr>
              <w:t xml:space="preserve">Contraloría</w:t>
            </w:r>
          </w:p>
        </w:tc>
        <w:tc>
          <w:tcPr/>
          <w:p w:rsidR="00000000" w:rsidDel="00000000" w:rsidP="00000000" w:rsidRDefault="00000000" w:rsidRPr="00000000" w14:paraId="000000F4">
            <w:pPr>
              <w:rPr/>
            </w:pPr>
            <w:r w:rsidDel="00000000" w:rsidR="00000000" w:rsidRPr="00000000">
              <w:rPr>
                <w:rtl w:val="0"/>
              </w:rPr>
              <w:t xml:space="preserve">Total de denuncias por peculado registradas en cada región y año. Se expresa en número absoluto o por cada 100 mil habitantes.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Percepción de la corrupción</w:t>
            </w:r>
          </w:p>
        </w:tc>
        <w:tc>
          <w:tcPr/>
          <w:p w:rsidR="00000000" w:rsidDel="00000000" w:rsidP="00000000" w:rsidRDefault="00000000" w:rsidRPr="00000000" w14:paraId="000000F6">
            <w:pPr>
              <w:rPr/>
            </w:pPr>
            <w:r w:rsidDel="00000000" w:rsidR="00000000" w:rsidRPr="00000000">
              <w:rPr>
                <w:rtl w:val="0"/>
              </w:rPr>
              <w:t xml:space="preserve">ENAHO</w:t>
            </w:r>
          </w:p>
        </w:tc>
        <w:tc>
          <w:tcPr/>
          <w:p w:rsidR="00000000" w:rsidDel="00000000" w:rsidP="00000000" w:rsidRDefault="00000000" w:rsidRPr="00000000" w14:paraId="000000F7">
            <w:pPr>
              <w:rPr/>
            </w:pPr>
            <w:r w:rsidDel="00000000" w:rsidR="00000000" w:rsidRPr="00000000">
              <w:rPr>
                <w:rtl w:val="0"/>
              </w:rPr>
              <w:t xml:space="preserve">Variable ordinal o continua según escala de la ENAHO. Mide la percepción de los hogares sobre corrupción en su región. Disponible en módulos de gobernanza y ciudadanía.</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Variables de control [X] (Precio internacional de los minerales, gasto público, entre otros)</w:t>
            </w:r>
          </w:p>
        </w:tc>
        <w:tc>
          <w:tcPr/>
          <w:p w:rsidR="00000000" w:rsidDel="00000000" w:rsidP="00000000" w:rsidRDefault="00000000" w:rsidRPr="00000000" w14:paraId="000000F9">
            <w:pPr>
              <w:rPr/>
            </w:pPr>
            <w:r w:rsidDel="00000000" w:rsidR="00000000" w:rsidRPr="00000000">
              <w:rPr>
                <w:rtl w:val="0"/>
              </w:rPr>
              <w:t xml:space="preserve">BCRP – MEF –</w:t>
            </w:r>
          </w:p>
          <w:p w:rsidR="00000000" w:rsidDel="00000000" w:rsidP="00000000" w:rsidRDefault="00000000" w:rsidRPr="00000000" w14:paraId="000000FA">
            <w:pPr>
              <w:rPr/>
            </w:pPr>
            <w:r w:rsidDel="00000000" w:rsidR="00000000" w:rsidRPr="00000000">
              <w:rPr>
                <w:rtl w:val="0"/>
              </w:rPr>
              <w:t xml:space="preserve">ENAHO</w:t>
            </w:r>
          </w:p>
        </w:tc>
        <w:tc>
          <w:tcPr/>
          <w:p w:rsidR="00000000" w:rsidDel="00000000" w:rsidP="00000000" w:rsidRDefault="00000000" w:rsidRPr="00000000" w14:paraId="000000FB">
            <w:pPr>
              <w:rPr/>
            </w:pPr>
            <w:r w:rsidDel="00000000" w:rsidR="00000000" w:rsidRPr="00000000">
              <w:rPr>
                <w:rtl w:val="0"/>
              </w:rPr>
              <w:t xml:space="preserve">Conjunto de variables macro y sociodemográficas: precio internacional de los metales/commodities, gasto público regional, densidad poblacional, inversión pública total, inflación regional, términos de intercambio, entre otros.</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widowControl w:val="1"/>
        <w:spacing w:after="160" w:line="259"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FE">
      <w:pPr>
        <w:rPr>
          <w:i w:val="1"/>
          <w:iCs w:val="1"/>
        </w:rPr>
      </w:pPr>
      <w:r w:rsidDel="00000000" w:rsidR="00000000" w:rsidRPr="00000000">
        <w:rPr>
          <w:i w:val="1"/>
          <w:iCs w:val="1"/>
          <w:rtl w:val="0"/>
        </w:rPr>
        <w:t xml:space="preserve">Anexo 2: Gráfico de la interacción de las variables</w:t>
      </w:r>
    </w:p>
    <w:p w:rsidR="00000000" w:rsidDel="00000000" w:rsidP="00000000" w:rsidRDefault="00000000" w:rsidRPr="00000000" w14:paraId="000000FF">
      <w:pPr>
        <w:rPr>
          <w:i w:val="1"/>
          <w:iCs w:val="1"/>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161290</wp:posOffset>
            </wp:positionV>
            <wp:extent cx="5612130" cy="3156585"/>
            <wp:effectExtent b="0" l="0" r="0" t="0"/>
            <wp:wrapNone/>
            <wp:docPr id="5"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5612130" cy="3156585"/>
                    </a:xfrm>
                    <a:prstGeom prst="rect"/>
                    <a:ln/>
                  </pic:spPr>
                </pic:pic>
              </a:graphicData>
            </a:graphic>
          </wp:anchor>
        </w:drawing>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Elaboración propia.</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525D44"/>
    <w:pPr>
      <w:ind w:left="720"/>
      <w:contextualSpacing w:val="1"/>
    </w:pPr>
  </w:style>
  <w:style w:type="character" w:styleId="Textoennegrita">
    <w:name w:val="Strong"/>
    <w:basedOn w:val="Fuentedeprrafopredeter"/>
    <w:uiPriority w:val="22"/>
    <w:qFormat w:val="1"/>
    <w:rsid w:val="000B684C"/>
    <w:rPr>
      <w:b w:val="1"/>
      <w:bCs w:val="1"/>
    </w:rPr>
  </w:style>
  <w:style w:type="character" w:styleId="Hipervnculo">
    <w:name w:val="Hyperlink"/>
    <w:basedOn w:val="Fuentedeprrafopredeter"/>
    <w:uiPriority w:val="99"/>
    <w:unhideWhenUsed w:val="1"/>
    <w:rsid w:val="00765696"/>
    <w:rPr>
      <w:color w:val="0563c1" w:themeColor="hyperlink"/>
      <w:u w:val="single"/>
    </w:rPr>
  </w:style>
  <w:style w:type="character" w:styleId="nfasis">
    <w:name w:val="Emphasis"/>
    <w:basedOn w:val="Fuentedeprrafopredeter"/>
    <w:uiPriority w:val="20"/>
    <w:qFormat w:val="1"/>
    <w:rsid w:val="00765696"/>
    <w:rPr>
      <w:i w:val="1"/>
      <w:iCs w:val="1"/>
    </w:rPr>
  </w:style>
  <w:style w:type="paragraph" w:styleId="NormalWeb">
    <w:name w:val="Normal (Web)"/>
    <w:basedOn w:val="Normal"/>
    <w:uiPriority w:val="99"/>
    <w:unhideWhenUsed w:val="1"/>
    <w:rsid w:val="003C6861"/>
    <w:pPr>
      <w:widowControl w:val="1"/>
      <w:spacing w:after="100" w:afterAutospacing="1" w:before="100" w:beforeAutospacing="1"/>
      <w:jc w:val="left"/>
    </w:pPr>
    <w:rPr>
      <w:rFonts w:ascii="Times New Roman" w:hAnsi="Times New Roman"/>
      <w:szCs w:val="24"/>
      <w:lang w:val="es-PE"/>
    </w:rPr>
  </w:style>
  <w:style w:type="table" w:styleId="Tablaconcuadrcula">
    <w:name w:val="Table Grid"/>
    <w:basedOn w:val="Tablanormal"/>
    <w:uiPriority w:val="39"/>
    <w:rsid w:val="005B601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
    <w:name w:val="Unresolved Mention"/>
    <w:basedOn w:val="Fuentedeprrafopredeter"/>
    <w:uiPriority w:val="99"/>
    <w:semiHidden w:val="1"/>
    <w:unhideWhenUsed w:val="1"/>
    <w:rsid w:val="00DD0B5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dn.www.gob.pe/uploads/document/file/7328537/6256563-perfil-pobreza-dominios-geograficos-2013-2023.pdf" TargetMode="External"/><Relationship Id="rId22" Type="http://schemas.openxmlformats.org/officeDocument/2006/relationships/hyperlink" Target="https://www.leyes.congreso.gob.pe/Documentos/Leyes/28322.pdf" TargetMode="External"/><Relationship Id="rId21" Type="http://schemas.openxmlformats.org/officeDocument/2006/relationships/hyperlink" Target="https://m.inei.gob.pe/media/MenuRecursivo/boletines/informe-tecnico-de-gobernabilidad-jul-dic-2023-febrero-2024-28-febrero.pdf?utm_source=chatgpt.com" TargetMode="External"/><Relationship Id="rId24" Type="http://schemas.openxmlformats.org/officeDocument/2006/relationships/hyperlink" Target="https://researchs.pucp.elogim.com/c/d6owsy/ebook-viewer/epub/vbbgdlgptv/section/navpoint3?auth-callid=5413b583-61ed-4c59-a994-41d440a14f92" TargetMode="External"/><Relationship Id="rId23" Type="http://schemas.openxmlformats.org/officeDocument/2006/relationships/hyperlink" Target="https://cies.org.pe/wp-content/uploads/2016/07/boom_minero_y_corrupcion_de_funcionarios_publicos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ccei.org/LEIRD2022-VirtualEdition/full-papers/FP49.pdf" TargetMode="External"/><Relationship Id="rId26" Type="http://schemas.openxmlformats.org/officeDocument/2006/relationships/hyperlink" Target="https://scioteca.caf.com/handle/123456789/204" TargetMode="External"/><Relationship Id="rId25" Type="http://schemas.openxmlformats.org/officeDocument/2006/relationships/hyperlink" Target="https://rpp.pe/economia/economia/minem-cobre-y-oro-representaron-el-54-de-las-exportaciones-peruanas-entre-enero-y-mayo-de-2025-noticia-1653008?utm_source=chatgpt.com" TargetMode="External"/><Relationship Id="rId28" Type="http://schemas.openxmlformats.org/officeDocument/2006/relationships/hyperlink" Target="https://www.sciencedirect.com/science/article/pii/S2405844024100692" TargetMode="External"/><Relationship Id="rId27" Type="http://schemas.openxmlformats.org/officeDocument/2006/relationships/hyperlink" Target="https://repositorio.lamolina.edu.pe/items/772de211-383f-4fea-88df-130f57aa4c0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dl.handle.net/20.500.14657/173133" TargetMode="External"/><Relationship Id="rId7" Type="http://schemas.openxmlformats.org/officeDocument/2006/relationships/image" Target="media/image1.jpg"/><Relationship Id="rId8" Type="http://schemas.openxmlformats.org/officeDocument/2006/relationships/hyperlink" Target="https://www.jstor.org/stable/41959246" TargetMode="External"/><Relationship Id="rId31" Type="http://schemas.openxmlformats.org/officeDocument/2006/relationships/hyperlink" Target="https://grade.org.pe/publicaciones/transiciones-movilizacion-ciudadana-y-cambios-institucionales-lecciones-desde-territorios-con-mineria-a-gran-escala-en-el-peru-colombia-y-chile/" TargetMode="External"/><Relationship Id="rId30" Type="http://schemas.openxmlformats.org/officeDocument/2006/relationships/hyperlink" Target="https://diposit.ub.edu/dspace/handle/2445/66469" TargetMode="External"/><Relationship Id="rId11" Type="http://schemas.openxmlformats.org/officeDocument/2006/relationships/hyperlink" Target="https://www.bcrp.gob.pe/docs/Publicaciones/Revista-Moneda/moneda-195/moneda-195-07.pdf" TargetMode="External"/><Relationship Id="rId33" Type="http://schemas.openxmlformats.org/officeDocument/2006/relationships/image" Target="media/image2.jpg"/><Relationship Id="rId10" Type="http://schemas.openxmlformats.org/officeDocument/2006/relationships/hyperlink" Target="https://isbn.bnp.gob.pe/catalogo.php?mode=detalle&amp;amp;nt=158529" TargetMode="External"/><Relationship Id="rId32" Type="http://schemas.openxmlformats.org/officeDocument/2006/relationships/hyperlink" Target="https://apps5.mineco.gob.pe/transparencia/Navegador/default.aspx" TargetMode="External"/><Relationship Id="rId13" Type="http://schemas.openxmlformats.org/officeDocument/2006/relationships/hyperlink" Target="https://www.sciencedirect.com/science/article/abs/pii/S2405851325000170" TargetMode="External"/><Relationship Id="rId12" Type="http://schemas.openxmlformats.org/officeDocument/2006/relationships/hyperlink" Target="https://documentos.bancomundial.org/es/publication/documents-reports/documentdetail/448141632473923087" TargetMode="External"/><Relationship Id="rId15" Type="http://schemas.openxmlformats.org/officeDocument/2006/relationships/hyperlink" Target="https://www.congreso.gob.pe/Docs/DGP/Comisiones/files/publicaciones/canonmunicipalidades_090519_2.pdf?utm_source=chatgpt.com" TargetMode="External"/><Relationship Id="rId14" Type="http://schemas.openxmlformats.org/officeDocument/2006/relationships/hyperlink" Target="https://core.ac.uk/download/pdf/389471207.pdf" TargetMode="External"/><Relationship Id="rId17" Type="http://schemas.openxmlformats.org/officeDocument/2006/relationships/hyperlink" Target="https://doi.org/10.35622/j.rg.2025.02.002" TargetMode="External"/><Relationship Id="rId16" Type="http://schemas.openxmlformats.org/officeDocument/2006/relationships/hyperlink" Target="https://www.gob.pe/institucion/contraloria/noticias/912182-corrupcion-e-inconducta-funcional-habrian-ocasionado-perdidas-por-s-24-268-millones-en-el-2023?utm_source=chatgpt.com" TargetMode="External"/><Relationship Id="rId19" Type="http://schemas.openxmlformats.org/officeDocument/2006/relationships/hyperlink" Target="https://repositorio.up.edu.pe/backend/api/core/bitstreams/9c9f707a-edfd-40e2-8073-8df1c916f146/content" TargetMode="External"/><Relationship Id="rId18" Type="http://schemas.openxmlformats.org/officeDocument/2006/relationships/hyperlink" Target="https://doi.org/10.15174/au.2018.2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2MFttz38PyusLV/8kQgi9ui7w==">CgMxLjA4AHIhMTJwaWRNMjBzcTdoQjdTSkx1b1VidGY3dXJtdkUxLW8x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2025-12-08T21:47:00Z</dcterms:created>
  <dc:creator>Cesar Contreras</dc:creator>
</cp:coreProperties>
</file>