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B2D77" w14:textId="7FEE9097" w:rsidR="002A5044" w:rsidRDefault="002A5044" w:rsidP="002A5044">
      <w:pPr>
        <w:rPr>
          <w:b/>
          <w:bCs/>
        </w:rPr>
      </w:pPr>
      <w:r>
        <w:rPr>
          <w:b/>
          <w:bCs/>
        </w:rPr>
        <w:t>Revisión de literatura</w:t>
      </w:r>
    </w:p>
    <w:p w14:paraId="17D6A675" w14:textId="7D4A5723" w:rsidR="00296E7E" w:rsidRDefault="005A6289" w:rsidP="004D6C1E">
      <w:pPr>
        <w:jc w:val="both"/>
      </w:pPr>
      <w:r>
        <w:t xml:space="preserve">La investigación propuesta pertenece a una amplia gama de literatura -mayormente empírica- acerca de la economía de desarrollo con implicancias en finanzas públicas a nivel de los gobiernos regionales del Perú. </w:t>
      </w:r>
      <w:r w:rsidR="004D6C1E">
        <w:t>En esta perspectiva, e</w:t>
      </w:r>
      <w:r w:rsidR="004D6C1E" w:rsidRPr="004D6C1E">
        <w:t xml:space="preserve">l análisis del uso del canon minero en los gobiernos regionales del Perú constituye una línea de investigación clave para comprender la relación entre recursos naturales, institucionalidad y </w:t>
      </w:r>
      <w:r w:rsidR="004D6C1E">
        <w:t xml:space="preserve">transparencia, y </w:t>
      </w:r>
      <w:r w:rsidR="004D6C1E" w:rsidRPr="004D6C1E">
        <w:t>desarrollo regional</w:t>
      </w:r>
      <w:r w:rsidR="004D6C1E">
        <w:t>. Así, d</w:t>
      </w:r>
      <w:r w:rsidR="004D6C1E" w:rsidRPr="004D6C1E">
        <w:t xml:space="preserve">iversos estudios coinciden en que, si bien el canon ha permitido expandir la inversión pública subnacional, su impacto en el desarrollo económico </w:t>
      </w:r>
      <w:r w:rsidR="004D6C1E">
        <w:t>varía</w:t>
      </w:r>
      <w:r w:rsidR="004D6C1E" w:rsidRPr="004D6C1E">
        <w:t xml:space="preserve"> debido a factores estructurales</w:t>
      </w:r>
      <w:r w:rsidR="00ED48F8">
        <w:t>.</w:t>
      </w:r>
    </w:p>
    <w:p w14:paraId="5CAF912A" w14:textId="77777777" w:rsidR="00ED48F8" w:rsidRDefault="00207238" w:rsidP="00296E7E">
      <w:pPr>
        <w:jc w:val="both"/>
      </w:pPr>
      <w:r>
        <w:t xml:space="preserve">El informe brindado por el Banco Mundial (2021) identifica una alta tendencia del crecimiento peruano, debido a la demanda extranjera de nuestros minerales; sin embargo, </w:t>
      </w:r>
      <w:r w:rsidR="00ED48F8">
        <w:t xml:space="preserve">el </w:t>
      </w:r>
      <w:r>
        <w:t xml:space="preserve">aumento del PBI no se traduce en desarrollo regional. </w:t>
      </w:r>
      <w:r w:rsidR="00ED48F8">
        <w:t>Esto</w:t>
      </w:r>
      <w:r>
        <w:t xml:space="preserve"> es pertinente con la investigación, puesto que demuestran </w:t>
      </w:r>
      <w:r w:rsidR="00ED48F8">
        <w:t xml:space="preserve">las </w:t>
      </w:r>
      <w:r w:rsidRPr="00207238">
        <w:t>deficiencias de planificación, coordinación intergubernamental y transparencia en la gestión de las rentas mineras</w:t>
      </w:r>
      <w:r>
        <w:t>. Es así que e</w:t>
      </w:r>
      <w:r w:rsidRPr="00207238">
        <w:t>l organismo subraya que, pese al potencial de la minería para impulsar el crecimiento, la fragmentación institucional y la captura política de las transferencias limitan su efecto multiplicador.</w:t>
      </w:r>
    </w:p>
    <w:p w14:paraId="7CAF9040" w14:textId="5660E0DB" w:rsidR="00296E7E" w:rsidRDefault="00ED48F8" w:rsidP="00296E7E">
      <w:pPr>
        <w:jc w:val="both"/>
      </w:pPr>
      <w:r>
        <w:t>E</w:t>
      </w:r>
      <w:r w:rsidR="00296E7E" w:rsidRPr="004D6C1E">
        <w:t xml:space="preserve">n este marco, la literatura </w:t>
      </w:r>
      <w:r w:rsidR="00296E7E">
        <w:t>seleccionada</w:t>
      </w:r>
      <w:r w:rsidR="00296E7E" w:rsidRPr="004D6C1E">
        <w:t xml:space="preserve"> ha buscado identificar los mecanismos a través de los cuales estas variables interactúan, y cómo condicionan la efectividad del gasto público derivado del canon en la mejora del bienestar regional.</w:t>
      </w:r>
      <w:r w:rsidR="00296E7E">
        <w:t xml:space="preserve"> Es por ello que se reparten cuatro secciones donde se habla sobre las implicancias de la extracción de minerales dentro del crecimiento económico, la dependencia nacional a factores externos </w:t>
      </w:r>
      <w:r w:rsidR="0035603B">
        <w:t xml:space="preserve">como el del precio de los metales </w:t>
      </w:r>
      <w:r w:rsidR="00296E7E">
        <w:t>que guían la economía local, el marco macroeconómico fiscal del presupuesto recaudado peruano, y la corrupción dentro del país por medio del boom</w:t>
      </w:r>
      <w:r w:rsidR="00296E7E">
        <w:t xml:space="preserve"> del precio</w:t>
      </w:r>
      <w:r w:rsidR="00296E7E">
        <w:t xml:space="preserve"> de los </w:t>
      </w:r>
      <w:proofErr w:type="spellStart"/>
      <w:r w:rsidR="00296E7E">
        <w:t>commodities</w:t>
      </w:r>
      <w:proofErr w:type="spellEnd"/>
      <w:r w:rsidR="00296E7E">
        <w:t>.</w:t>
      </w:r>
    </w:p>
    <w:p w14:paraId="18B37F7E" w14:textId="05123559" w:rsidR="003A58A6" w:rsidRDefault="00296E7E" w:rsidP="00B5261D">
      <w:pPr>
        <w:jc w:val="both"/>
      </w:pPr>
      <w:r>
        <w:t>En primer lugar, un grupo de investigaciones expresan la relación entre crecimiento regional y minería.</w:t>
      </w:r>
      <w:r w:rsidR="0035603B">
        <w:t xml:space="preserve"> </w:t>
      </w:r>
      <w:r w:rsidR="0035603B" w:rsidRPr="0035603B">
        <w:t xml:space="preserve">Huancas, </w:t>
      </w:r>
      <w:r w:rsidR="0035603B">
        <w:t xml:space="preserve">et. al </w:t>
      </w:r>
      <w:r w:rsidR="0035603B" w:rsidRPr="0035603B">
        <w:t xml:space="preserve">(2022) analizan cómo las transferencias del canon minero afectan el ingreso y el empleo a nivel distrital y encuentran que las zonas productoras tienden a mostrar un crecimiento del ingreso promedio y una mayor probabilidad de empleo formal. Sin embargo, el impacto es heterogéneo y se concentra en los distritos con mayor actividad extractiva, lo que refleja una estructura desigual del desarrollo local. Esta evidencia empírica dialoga con los resultados de </w:t>
      </w:r>
      <w:proofErr w:type="spellStart"/>
      <w:r w:rsidR="0035603B" w:rsidRPr="0035603B">
        <w:t>Şen</w:t>
      </w:r>
      <w:proofErr w:type="spellEnd"/>
      <w:r w:rsidR="0035603B" w:rsidRPr="0035603B">
        <w:t xml:space="preserve">, </w:t>
      </w:r>
      <w:r w:rsidR="0035603B">
        <w:t>et. al (</w:t>
      </w:r>
      <w:r w:rsidR="0035603B" w:rsidRPr="0035603B">
        <w:t>2024), quienes, en un panel de países con distintos niveles de ingreso, demuestran que los precios de los metales contribuyen al crecimiento del PIB per cápita, mientras que los choques negativos en precios energéticos lo deprimen.</w:t>
      </w:r>
    </w:p>
    <w:p w14:paraId="04085CC2" w14:textId="2F75FB5D" w:rsidR="00B5261D" w:rsidRDefault="00B5261D" w:rsidP="00B5261D">
      <w:pPr>
        <w:jc w:val="both"/>
      </w:pPr>
      <w:r>
        <w:t>Del mismo modo, d</w:t>
      </w:r>
      <w:r>
        <w:t>esde una perspectiva sectorial, Alvarado et al. (202</w:t>
      </w:r>
      <w:r w:rsidR="00ED48F8">
        <w:t>2</w:t>
      </w:r>
      <w:r>
        <w:t xml:space="preserve">) sostienen que la minería ha sido un motor clave del crecimiento económico del Perú al generar empleo directo e indirecto, atraer inversión y dinamizar los ingresos fiscales a través del canon. Sin embargo, los autores advierten que el impacto del sector no ha sido homogéneo ni </w:t>
      </w:r>
      <w:r>
        <w:lastRenderedPageBreak/>
        <w:t>sostenible, pues los beneficios se concentran en regiones específicas y no siempre se traducen en mejoras sociales amplias. Una lectura similar ofrece Cruz y Garabito (2025), quienes</w:t>
      </w:r>
      <w:r>
        <w:t xml:space="preserve">, para </w:t>
      </w:r>
      <w:r w:rsidRPr="00B5261D">
        <w:t>medir el impacto del canon minero sobre el ingreso familiar, educación y pobreza en las regiones</w:t>
      </w:r>
      <w:r w:rsidR="00464361">
        <w:t xml:space="preserve"> </w:t>
      </w:r>
      <w:r>
        <w:t>para el periodo 2012–2022</w:t>
      </w:r>
      <w:r w:rsidR="00464361">
        <w:t>,</w:t>
      </w:r>
      <w:r>
        <w:t xml:space="preserve"> y hallan que el canon ejerce un efecto positivo pero marginal sobre el ingreso familiar y la educación, con resultados ambiguos sobre la pobreza. Ellos destacan que la capacidad de gestión institucional y el nivel de transparencia son variables mediadoras decisivas</w:t>
      </w:r>
      <w:r w:rsidR="00464361">
        <w:t>.</w:t>
      </w:r>
    </w:p>
    <w:p w14:paraId="3842323D" w14:textId="537CD87B" w:rsidR="00B5261D" w:rsidRDefault="00B5261D" w:rsidP="00B5261D">
      <w:pPr>
        <w:jc w:val="both"/>
      </w:pPr>
      <w:r w:rsidRPr="00B5261D">
        <w:t xml:space="preserve">El debate sobre la relación entre recursos naturales y desarrollo regional también ha sido </w:t>
      </w:r>
      <w:r>
        <w:t>estudiado</w:t>
      </w:r>
      <w:r w:rsidRPr="00B5261D">
        <w:t xml:space="preserve"> por Zegarra (202</w:t>
      </w:r>
      <w:r w:rsidR="00ED48F8">
        <w:t>4</w:t>
      </w:r>
      <w:r w:rsidRPr="00B5261D">
        <w:t>), quien examina las transformaciones productivas en los distritos mineros entre 2001 y 2019. Su análisis demuestra que, si bien la minería genera infraestructura y empleo temporal, las economías locales no logran diversificarse, configurando enclaves extractivos con escasa articulación productiva. Estos hallazgos coinciden con los de Bazán Navarro et al. (202</w:t>
      </w:r>
      <w:r w:rsidR="00ED48F8">
        <w:t>4</w:t>
      </w:r>
      <w:r w:rsidRPr="00B5261D">
        <w:t>), quienes encuentran</w:t>
      </w:r>
      <w:r w:rsidR="005C5814">
        <w:t xml:space="preserve"> </w:t>
      </w:r>
      <w:r w:rsidRPr="00B5261D">
        <w:t>que el consumo de gas natural y la apertura comercial tienen un efecto positivo de largo plazo sobre el PIB peruano, aunque condicionado por la volatilidad internacional. En conjunto, estos estudios sugieren que la extracción minera puede ser un motor de crecimiento solo si los ingresos derivados de ella se gestionan de forma eficiente</w:t>
      </w:r>
      <w:r>
        <w:t>; no obstante, también se ponen en disposición la perspectiva de una economía dependiente a otros factores como la volatilidad de precios, la recaudación y gestión pública, y la corrupción.</w:t>
      </w:r>
    </w:p>
    <w:p w14:paraId="196EE231" w14:textId="5844C191" w:rsidR="004C369E" w:rsidRDefault="00B5261D" w:rsidP="00B5261D">
      <w:pPr>
        <w:jc w:val="both"/>
      </w:pPr>
      <w:r w:rsidRPr="00B5261D">
        <w:t xml:space="preserve">El segundo </w:t>
      </w:r>
      <w:r>
        <w:t>lugar,</w:t>
      </w:r>
      <w:r w:rsidRPr="00B5261D">
        <w:t xml:space="preserve"> </w:t>
      </w:r>
      <w:r>
        <w:t>más literatura</w:t>
      </w:r>
      <w:r w:rsidRPr="00B5261D">
        <w:t xml:space="preserve"> aborda la dependencia del país respecto de los precios internacionales de los </w:t>
      </w:r>
      <w:proofErr w:type="spellStart"/>
      <w:r w:rsidRPr="00B5261D">
        <w:t>commodities</w:t>
      </w:r>
      <w:proofErr w:type="spellEnd"/>
      <w:r w:rsidR="005C5814">
        <w:t xml:space="preserve">. </w:t>
      </w:r>
      <w:r w:rsidRPr="00B5261D">
        <w:t xml:space="preserve">Byrne y </w:t>
      </w:r>
      <w:proofErr w:type="spellStart"/>
      <w:r w:rsidRPr="00B5261D">
        <w:t>Sakemoto</w:t>
      </w:r>
      <w:proofErr w:type="spellEnd"/>
      <w:r w:rsidRPr="00B5261D">
        <w:t xml:space="preserve"> (2022)</w:t>
      </w:r>
      <w:r w:rsidR="00C8524D">
        <w:t xml:space="preserve">, quienes </w:t>
      </w:r>
      <w:r w:rsidR="004C369E">
        <w:t>a</w:t>
      </w:r>
      <w:r w:rsidR="00C8524D" w:rsidRPr="00C8524D">
        <w:t>naliza</w:t>
      </w:r>
      <w:r w:rsidR="004C369E">
        <w:t xml:space="preserve">n </w:t>
      </w:r>
      <w:r w:rsidR="00C8524D" w:rsidRPr="00C8524D">
        <w:t xml:space="preserve">cómo la correlación dinámica entre precios de </w:t>
      </w:r>
      <w:proofErr w:type="spellStart"/>
      <w:r w:rsidR="00C8524D" w:rsidRPr="00C8524D">
        <w:t>commodities</w:t>
      </w:r>
      <w:proofErr w:type="spellEnd"/>
      <w:r w:rsidR="00C8524D" w:rsidRPr="00C8524D">
        <w:t xml:space="preserve"> afecta el riesgo financiero </w:t>
      </w:r>
      <w:r w:rsidR="00ED423B">
        <w:t>en</w:t>
      </w:r>
      <w:r w:rsidR="00C8524D" w:rsidRPr="00C8524D">
        <w:t xml:space="preserve"> economías exportadoras</w:t>
      </w:r>
      <w:r w:rsidR="004C369E">
        <w:t xml:space="preserve">, </w:t>
      </w:r>
      <w:r w:rsidRPr="00B5261D">
        <w:t xml:space="preserve">destacan que </w:t>
      </w:r>
      <w:r w:rsidR="004C369E">
        <w:t>esas</w:t>
      </w:r>
      <w:r w:rsidRPr="00B5261D">
        <w:t xml:space="preserve"> correlaciones </w:t>
      </w:r>
      <w:r>
        <w:t>s</w:t>
      </w:r>
      <w:r w:rsidRPr="00B5261D">
        <w:t xml:space="preserve">on inestables y tienden a sincronizarse en épocas de volatilidad global. </w:t>
      </w:r>
      <w:r w:rsidR="00ED423B">
        <w:t>Esto</w:t>
      </w:r>
      <w:r w:rsidRPr="00B5261D">
        <w:t xml:space="preserve"> aumenta el riesgo de choques fiscales simultáneos y explica la vulnerabilidad de economías como la peruana ante caídas en los precios de sus principales exportaciones. En la misma línea, Campos (2020) demuestra que la inversión pública financiada con canon es altamente procíclica, expandiéndose en periodos de auge y contrayéndose en fases de declive, lo cual genera volatilidad en el gasto regional y problemas de planificación.</w:t>
      </w:r>
      <w:r w:rsidR="005C5814">
        <w:t xml:space="preserve"> </w:t>
      </w:r>
      <w:r w:rsidR="004C369E" w:rsidRPr="004C369E">
        <w:t xml:space="preserve">Por su parte, Arias (2025) aporta una mirada </w:t>
      </w:r>
      <w:proofErr w:type="spellStart"/>
      <w:r w:rsidR="004C369E" w:rsidRPr="004C369E">
        <w:t>macrofiscal</w:t>
      </w:r>
      <w:proofErr w:type="spellEnd"/>
      <w:r w:rsidR="004C369E" w:rsidRPr="004C369E">
        <w:t xml:space="preserve"> complementaria</w:t>
      </w:r>
      <w:r w:rsidR="005C5814">
        <w:t xml:space="preserve"> donde </w:t>
      </w:r>
      <w:r w:rsidR="004C369E" w:rsidRPr="004C369E">
        <w:t>señala que la dependencia de los ingresos mineros ha limitado la autonomía del presupuesto público y ha generado una política fiscal altamente sensible a factores externos.</w:t>
      </w:r>
    </w:p>
    <w:p w14:paraId="6C78EBC4" w14:textId="42C655FF" w:rsidR="004C369E" w:rsidRDefault="004C369E" w:rsidP="00B5261D">
      <w:pPr>
        <w:jc w:val="both"/>
      </w:pPr>
      <w:r w:rsidRPr="004C369E">
        <w:t xml:space="preserve">El tercer bloque de estudios se centra en el marco macroeconómico y fiscal del presupuesto público. Sanguinetti (2010) muestra que el canon minero, aunque incrementa la inversión pública, no promueve la autonomía tributaria ni reduce las brechas de desigualdad regional. Su análisis revela que la asignación del canon se basa en criterios de localización geográfica más que en criterios redistributivos. Esta concentración es confirmada por Vargas (2015), quien, </w:t>
      </w:r>
      <w:r>
        <w:t>al e</w:t>
      </w:r>
      <w:r w:rsidRPr="004C369E">
        <w:t>valuar el impacto del canon en la inversión pública regional y evaluar su eficiencia y equidad</w:t>
      </w:r>
      <w:r>
        <w:t xml:space="preserve">, </w:t>
      </w:r>
      <w:r w:rsidRPr="004C369E">
        <w:t xml:space="preserve">encuentra que las </w:t>
      </w:r>
      <w:r w:rsidRPr="004C369E">
        <w:lastRenderedPageBreak/>
        <w:t>regiones beneficiadas por la reforma de 2005 aumentaron significativamente su gasto de capital, pero sin mejoras sustanciales en bienestar social. Esto se debe</w:t>
      </w:r>
      <w:r w:rsidR="00ED423B">
        <w:t xml:space="preserve"> </w:t>
      </w:r>
      <w:r w:rsidRPr="004C369E">
        <w:t>a la falta de planificación y a la débil capacidad de ejecución de los gobiernos regionales.</w:t>
      </w:r>
    </w:p>
    <w:p w14:paraId="16F774A3" w14:textId="15E05A58" w:rsidR="0038248F" w:rsidRDefault="004C369E" w:rsidP="00584C6A">
      <w:pPr>
        <w:jc w:val="both"/>
      </w:pPr>
      <w:r w:rsidRPr="004C369E">
        <w:t>Sena (2019)</w:t>
      </w:r>
      <w:r>
        <w:t>, por su parte,</w:t>
      </w:r>
      <w:r w:rsidRPr="004C369E">
        <w:t xml:space="preserve"> refuerza esta perspectiva desde la eficiencia económica del gasto, </w:t>
      </w:r>
      <w:r>
        <w:t xml:space="preserve">ya que los </w:t>
      </w:r>
      <w:r w:rsidRPr="004C369E">
        <w:t>resultados</w:t>
      </w:r>
      <w:r>
        <w:t xml:space="preserve"> </w:t>
      </w:r>
      <w:r w:rsidRPr="004C369E">
        <w:t>muestran que regiones con menores recursos</w:t>
      </w:r>
      <w:r w:rsidR="00ED423B">
        <w:t xml:space="preserve"> </w:t>
      </w:r>
      <w:r w:rsidR="00032FFE">
        <w:t xml:space="preserve">se </w:t>
      </w:r>
      <w:r w:rsidRPr="004C369E">
        <w:t>alcanzan mayores niveles de eficiencia que regiones con mayores ingresos mineros. La explicación se encuentra en la calidad institucional y la gestión pública</w:t>
      </w:r>
      <w:r w:rsidR="00ED423B">
        <w:t xml:space="preserve"> sobre </w:t>
      </w:r>
      <w:r w:rsidRPr="004C369E">
        <w:t>cómo se utilizan los recursos. Mendoza y Anastasio (2021), al revisar cuatro décadas de política fiscal peruana, sostienen que esta falta de eficiencia es consecuencia de una estructura fiscal centralista y dependiente de ingresos extraordinarios, que no fomenta la planificación local ni la rendición de cuentas. Por su parte, Arias (2025) coincide en que la sostenibilidad del gasto público en el Perú depende de reducir la rigidez presupuestaria y mejorar la transparencia en el uso del canon.</w:t>
      </w:r>
      <w:r>
        <w:t xml:space="preserve"> Es ahí donde entra otro factor fundamental para esta investigación</w:t>
      </w:r>
      <w:r w:rsidR="00032FFE">
        <w:t xml:space="preserve"> la cual es </w:t>
      </w:r>
      <w:r w:rsidR="00584C6A">
        <w:t>vist</w:t>
      </w:r>
      <w:r w:rsidR="00032FFE">
        <w:t>a</w:t>
      </w:r>
      <w:r w:rsidR="00584C6A">
        <w:t xml:space="preserve"> </w:t>
      </w:r>
      <w:r w:rsidR="00032FFE">
        <w:t>por</w:t>
      </w:r>
      <w:r w:rsidR="00584C6A">
        <w:t xml:space="preserve"> la percepción de corrupción.</w:t>
      </w:r>
    </w:p>
    <w:p w14:paraId="20CD1946" w14:textId="41F81AC4" w:rsidR="00584C6A" w:rsidRDefault="00584C6A" w:rsidP="00584C6A">
      <w:pPr>
        <w:jc w:val="both"/>
      </w:pPr>
      <w:r>
        <w:t xml:space="preserve">Es por ello que, como cuarta sección, se tiene al factor de corrupción relacionada con el uso del canon en contexto del boom minero. </w:t>
      </w:r>
      <w:r w:rsidRPr="00584C6A">
        <w:t xml:space="preserve">Arias (2025) advierte que la debilidad institucional y la presión política sobre el gasto han generado un entorno propicio para la corrupción, al disminuir la transparencia y la capacidad de control en el nivel subnacional. Esta preocupación es corroborada </w:t>
      </w:r>
      <w:r w:rsidR="00ED423B">
        <w:t>p</w:t>
      </w:r>
      <w:r w:rsidRPr="00584C6A">
        <w:t>or Maldonado (201</w:t>
      </w:r>
      <w:r>
        <w:t>1</w:t>
      </w:r>
      <w:r w:rsidRPr="00584C6A">
        <w:t>), quien utiliza un experimento natural para demostrar que durante los años de auge de precios (2004</w:t>
      </w:r>
      <w:r w:rsidR="00ED423B">
        <w:t>-</w:t>
      </w:r>
      <w:r w:rsidRPr="00584C6A">
        <w:t>2013), los gobiernos locales con mayores ingresos por canon presentaron un incremento significativo en los casos de malversación y cohecho</w:t>
      </w:r>
      <w:r w:rsidR="00ED423B">
        <w:t>. Y a</w:t>
      </w:r>
      <w:r w:rsidRPr="00584C6A">
        <w:t xml:space="preserve"> nivel internacional, Ahmad, </w:t>
      </w:r>
      <w:r>
        <w:t>et. al (</w:t>
      </w:r>
      <w:r w:rsidRPr="00584C6A">
        <w:t>20</w:t>
      </w:r>
      <w:r>
        <w:t>12</w:t>
      </w:r>
      <w:r w:rsidRPr="00584C6A">
        <w:t>) confirman que la corrupción tiene un efecto negativo y estadísticamente significativo sobre el crecimiento económico, al distorsionar la asignación de recursos e inhibir la inversión. Este resultado refuerza el argumento de que la corrupción actúa como una “renta improductiva” que desvía fondos destinados al desarrollo hacia fines personales o clientelares.</w:t>
      </w:r>
      <w:r w:rsidR="00ED423B">
        <w:t xml:space="preserve"> Asimismo, </w:t>
      </w:r>
      <w:r w:rsidR="00ED423B" w:rsidRPr="00584C6A">
        <w:t>Távara</w:t>
      </w:r>
      <w:r w:rsidRPr="00584C6A">
        <w:t xml:space="preserve"> (20</w:t>
      </w:r>
      <w:r>
        <w:t>12</w:t>
      </w:r>
      <w:r w:rsidRPr="00584C6A">
        <w:t>) menciona que la corrupción es un fenómeno sistémico ligado a la debilidad institucional, la desigualdad y la captura del Estado; la cual requiere reformas sostenidas y transparencia como política de Estado</w:t>
      </w:r>
      <w:r>
        <w:t>; es decir,</w:t>
      </w:r>
      <w:r w:rsidRPr="00584C6A">
        <w:t xml:space="preserve"> no solo sanciones legales, sino una reconstrucción de la cultura cívica y de la integridad pública.</w:t>
      </w:r>
    </w:p>
    <w:p w14:paraId="1365D281" w14:textId="4B94262E" w:rsidR="00584C6A" w:rsidRDefault="00584C6A" w:rsidP="00584C6A">
      <w:pPr>
        <w:jc w:val="both"/>
      </w:pPr>
      <w:r w:rsidRPr="00584C6A">
        <w:t xml:space="preserve">En </w:t>
      </w:r>
      <w:r>
        <w:t>síntesis</w:t>
      </w:r>
      <w:r w:rsidRPr="00584C6A">
        <w:t xml:space="preserve">, la literatura revisada demuestra que la gestión del canon minero en el Perú está condicionada por la interacción entre coyuntura económica internacional e institucionalidad doméstica. La evidencia empírica </w:t>
      </w:r>
      <w:r>
        <w:t xml:space="preserve">es muy útil para esta investigación, ya que </w:t>
      </w:r>
      <w:r w:rsidRPr="00584C6A">
        <w:t>sugiere que la eficiencia del canon es un reflejo directo de la calidad de las instituciones que lo administran: donde hay transparencia y control, los beneficios son visibles; donde impera la corrupción, los recursos del subsuelo terminan siendo un obstáculo más que una oportunidad.</w:t>
      </w:r>
    </w:p>
    <w:p w14:paraId="4AD09CF0" w14:textId="77777777" w:rsidR="009A67E8" w:rsidRDefault="009A67E8">
      <w:pPr>
        <w:rPr>
          <w:b/>
          <w:bCs/>
          <w:lang w:val="es-ES"/>
        </w:rPr>
      </w:pPr>
      <w:r>
        <w:rPr>
          <w:b/>
          <w:bCs/>
          <w:lang w:val="es-ES"/>
        </w:rPr>
        <w:br w:type="page"/>
      </w:r>
      <w:bookmarkStart w:id="0" w:name="_GoBack"/>
      <w:bookmarkEnd w:id="0"/>
    </w:p>
    <w:p w14:paraId="05249A04" w14:textId="26955AFF" w:rsidR="004F19AB" w:rsidRPr="00980ABF" w:rsidRDefault="004F19AB">
      <w:pPr>
        <w:rPr>
          <w:b/>
          <w:bCs/>
          <w:lang w:val="es-ES"/>
        </w:rPr>
      </w:pPr>
      <w:r w:rsidRPr="00980ABF">
        <w:rPr>
          <w:b/>
          <w:bCs/>
          <w:lang w:val="es-ES"/>
        </w:rPr>
        <w:lastRenderedPageBreak/>
        <w:t>Referencias</w:t>
      </w:r>
    </w:p>
    <w:p w14:paraId="7081CB36" w14:textId="192D3A88" w:rsidR="002C211B" w:rsidRDefault="002C211B" w:rsidP="002C211B">
      <w:r>
        <w:t xml:space="preserve">Ahmad, E., </w:t>
      </w:r>
      <w:proofErr w:type="spellStart"/>
      <w:r>
        <w:t>Ullah</w:t>
      </w:r>
      <w:proofErr w:type="spellEnd"/>
      <w:r>
        <w:t xml:space="preserve">, M. A., &amp; </w:t>
      </w:r>
      <w:proofErr w:type="spellStart"/>
      <w:r>
        <w:t>Arfeen</w:t>
      </w:r>
      <w:proofErr w:type="spellEnd"/>
      <w:r>
        <w:t>, M. I. (20</w:t>
      </w:r>
      <w:r w:rsidR="00ED48F8">
        <w:t>12</w:t>
      </w:r>
      <w:r>
        <w:t xml:space="preserve">). </w:t>
      </w:r>
      <w:proofErr w:type="spellStart"/>
      <w:r>
        <w:t>Does</w:t>
      </w:r>
      <w:proofErr w:type="spellEnd"/>
      <w:r>
        <w:t xml:space="preserve"> </w:t>
      </w:r>
      <w:proofErr w:type="spellStart"/>
      <w:r>
        <w:t>corruption</w:t>
      </w:r>
      <w:proofErr w:type="spellEnd"/>
      <w:r>
        <w:t xml:space="preserve"> </w:t>
      </w:r>
      <w:proofErr w:type="spellStart"/>
      <w:r>
        <w:t>affect</w:t>
      </w:r>
      <w:proofErr w:type="spellEnd"/>
      <w:r>
        <w:t xml:space="preserve"> </w:t>
      </w:r>
      <w:proofErr w:type="spellStart"/>
      <w:r>
        <w:t>economic</w:t>
      </w:r>
      <w:proofErr w:type="spellEnd"/>
      <w:r>
        <w:t xml:space="preserve"> </w:t>
      </w:r>
      <w:proofErr w:type="spellStart"/>
      <w:r>
        <w:t>growth</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developing</w:t>
      </w:r>
      <w:proofErr w:type="spellEnd"/>
      <w:r>
        <w:t xml:space="preserve"> </w:t>
      </w:r>
      <w:proofErr w:type="spellStart"/>
      <w:r>
        <w:t>countries</w:t>
      </w:r>
      <w:proofErr w:type="spellEnd"/>
      <w:r>
        <w:t xml:space="preserve">. </w:t>
      </w:r>
      <w:proofErr w:type="spellStart"/>
      <w:r>
        <w:t>Economic</w:t>
      </w:r>
      <w:proofErr w:type="spellEnd"/>
      <w:r>
        <w:t xml:space="preserve"> </w:t>
      </w:r>
      <w:proofErr w:type="spellStart"/>
      <w:r>
        <w:t>Modelling</w:t>
      </w:r>
      <w:proofErr w:type="spellEnd"/>
      <w:r>
        <w:t>, 85, 1-10.</w:t>
      </w:r>
      <w:r>
        <w:t xml:space="preserve"> </w:t>
      </w:r>
      <w:hyperlink r:id="rId5" w:history="1">
        <w:r w:rsidRPr="00DE0C4C">
          <w:rPr>
            <w:rStyle w:val="Hipervnculo"/>
          </w:rPr>
          <w:t>https://www.jstor.org/stable/41959246</w:t>
        </w:r>
      </w:hyperlink>
      <w:r>
        <w:t xml:space="preserve"> </w:t>
      </w:r>
    </w:p>
    <w:p w14:paraId="2DFEEAF5" w14:textId="4D37A102" w:rsidR="002C211B" w:rsidRDefault="002C211B" w:rsidP="002C211B">
      <w:r>
        <w:t xml:space="preserve">Alvarado, C. J., Cotrina, M. A., </w:t>
      </w:r>
      <w:proofErr w:type="spellStart"/>
      <w:r>
        <w:t>Ascate</w:t>
      </w:r>
      <w:proofErr w:type="spellEnd"/>
      <w:r>
        <w:t xml:space="preserve">, H., </w:t>
      </w:r>
      <w:proofErr w:type="spellStart"/>
      <w:r>
        <w:t>Henriquez</w:t>
      </w:r>
      <w:proofErr w:type="spellEnd"/>
      <w:r>
        <w:t>, Y. J., Sandoval, M. D., Noriega, E. M., &amp; Rodríguez, J. C. (202</w:t>
      </w:r>
      <w:r w:rsidR="00ED48F8">
        <w:t>2</w:t>
      </w:r>
      <w:r>
        <w:t>). La minería como motor de impulso en el desarrollo económico del Perú. Revista de Economía y Sociedad, 43(2), 55-72.</w:t>
      </w:r>
      <w:r>
        <w:t xml:space="preserve"> </w:t>
      </w:r>
      <w:hyperlink r:id="rId6" w:history="1">
        <w:r w:rsidRPr="00DE0C4C">
          <w:rPr>
            <w:rStyle w:val="Hipervnculo"/>
          </w:rPr>
          <w:t>https://laccei.org/LEIRD2022-VirtualEdition/full-papers/FP49.pdf</w:t>
        </w:r>
      </w:hyperlink>
      <w:r>
        <w:t xml:space="preserve"> </w:t>
      </w:r>
    </w:p>
    <w:p w14:paraId="38B650D9" w14:textId="52DC85D1" w:rsidR="002C211B" w:rsidRDefault="002C211B" w:rsidP="002C211B">
      <w:r>
        <w:t>Arias, L. (2025). Horizontes fiscales y políticos: desafíos y retos para el nuevo gobernante del Perú. Lima: Fondo Editorial.</w:t>
      </w:r>
      <w:r>
        <w:t xml:space="preserve"> </w:t>
      </w:r>
      <w:hyperlink r:id="rId7" w:history="1">
        <w:r w:rsidRPr="00DE0C4C">
          <w:rPr>
            <w:rStyle w:val="Hipervnculo"/>
          </w:rPr>
          <w:t>https://isbn.bnp.gob.pe/catalogo.php?mode=detalle&amp;nt=158529</w:t>
        </w:r>
      </w:hyperlink>
      <w:r>
        <w:t xml:space="preserve"> </w:t>
      </w:r>
    </w:p>
    <w:p w14:paraId="0380540D" w14:textId="323A98D1" w:rsidR="002C211B" w:rsidRDefault="002C211B" w:rsidP="002C211B">
      <w:r>
        <w:t>Bazán Navarro, R., et al. (202</w:t>
      </w:r>
      <w:r w:rsidR="00ED48F8">
        <w:t>4</w:t>
      </w:r>
      <w:r>
        <w:t xml:space="preserve">). Natural gas, </w:t>
      </w:r>
      <w:proofErr w:type="spellStart"/>
      <w:r>
        <w:t>trade</w:t>
      </w:r>
      <w:proofErr w:type="spellEnd"/>
      <w:r>
        <w:t xml:space="preserve"> </w:t>
      </w:r>
      <w:proofErr w:type="spellStart"/>
      <w:r>
        <w:t>openness</w:t>
      </w:r>
      <w:proofErr w:type="spellEnd"/>
      <w:r>
        <w:t xml:space="preserve"> and </w:t>
      </w:r>
      <w:proofErr w:type="spellStart"/>
      <w:r>
        <w:t>economic</w:t>
      </w:r>
      <w:proofErr w:type="spellEnd"/>
      <w:r>
        <w:t xml:space="preserve"> </w:t>
      </w:r>
      <w:proofErr w:type="spellStart"/>
      <w:r>
        <w:t>growth</w:t>
      </w:r>
      <w:proofErr w:type="spellEnd"/>
      <w:r>
        <w:t xml:space="preserve"> in </w:t>
      </w:r>
      <w:proofErr w:type="spellStart"/>
      <w:r>
        <w:t>Peru</w:t>
      </w:r>
      <w:proofErr w:type="spellEnd"/>
      <w:r>
        <w:t xml:space="preserve">: 1965–2022. Energy </w:t>
      </w:r>
      <w:proofErr w:type="spellStart"/>
      <w:r>
        <w:t>Economics</w:t>
      </w:r>
      <w:proofErr w:type="spellEnd"/>
      <w:r>
        <w:t>, 117, 106503.</w:t>
      </w:r>
      <w:r>
        <w:t xml:space="preserve"> </w:t>
      </w:r>
      <w:hyperlink r:id="rId8" w:history="1">
        <w:r w:rsidRPr="00DE0C4C">
          <w:rPr>
            <w:rStyle w:val="Hipervnculo"/>
          </w:rPr>
          <w:t>https://doi.org/10.1016/j.esr.2024.101428</w:t>
        </w:r>
      </w:hyperlink>
      <w:r>
        <w:t xml:space="preserve"> </w:t>
      </w:r>
    </w:p>
    <w:p w14:paraId="4879F98C" w14:textId="21C8B3C6" w:rsidR="002C211B" w:rsidRDefault="002C211B" w:rsidP="002C211B">
      <w:r>
        <w:t>Banco Mundial. (202</w:t>
      </w:r>
      <w:r w:rsidR="00ED48F8">
        <w:t>1</w:t>
      </w:r>
      <w:r>
        <w:t xml:space="preserve">). </w:t>
      </w:r>
      <w:proofErr w:type="spellStart"/>
      <w:r>
        <w:t>Peru</w:t>
      </w:r>
      <w:proofErr w:type="spellEnd"/>
      <w:r>
        <w:t xml:space="preserve"> – </w:t>
      </w:r>
      <w:proofErr w:type="spellStart"/>
      <w:r>
        <w:t>Mining</w:t>
      </w:r>
      <w:proofErr w:type="spellEnd"/>
      <w:r>
        <w:t xml:space="preserve"> Sector </w:t>
      </w:r>
      <w:proofErr w:type="spellStart"/>
      <w:r>
        <w:t>Diagnostic</w:t>
      </w:r>
      <w:proofErr w:type="spellEnd"/>
      <w:r>
        <w:t xml:space="preserve">. Washington, D.C.: </w:t>
      </w:r>
      <w:proofErr w:type="spellStart"/>
      <w:r>
        <w:t>World</w:t>
      </w:r>
      <w:proofErr w:type="spellEnd"/>
      <w:r>
        <w:t xml:space="preserve"> Bank </w:t>
      </w:r>
      <w:proofErr w:type="spellStart"/>
      <w:r>
        <w:t>Group</w:t>
      </w:r>
      <w:proofErr w:type="spellEnd"/>
      <w:r>
        <w:t>.</w:t>
      </w:r>
      <w:r>
        <w:t xml:space="preserve"> </w:t>
      </w:r>
      <w:hyperlink r:id="rId9" w:history="1">
        <w:r w:rsidRPr="00DE0C4C">
          <w:rPr>
            <w:rStyle w:val="Hipervnculo"/>
          </w:rPr>
          <w:t>https://documentos.bancomundial.org/es/publication/documents-reports/documentdetail/448141632473923087</w:t>
        </w:r>
      </w:hyperlink>
      <w:r>
        <w:t xml:space="preserve"> </w:t>
      </w:r>
    </w:p>
    <w:p w14:paraId="3A910686" w14:textId="336C53FE" w:rsidR="002C211B" w:rsidRDefault="002C211B" w:rsidP="002C211B">
      <w:r>
        <w:t xml:space="preserve">Byrne, J. P., &amp; </w:t>
      </w:r>
      <w:proofErr w:type="spellStart"/>
      <w:r>
        <w:t>Sakemoto</w:t>
      </w:r>
      <w:proofErr w:type="spellEnd"/>
      <w:r>
        <w:t xml:space="preserve">, R. (2022). </w:t>
      </w:r>
      <w:proofErr w:type="spellStart"/>
      <w:r>
        <w:t>Commodity</w:t>
      </w:r>
      <w:proofErr w:type="spellEnd"/>
      <w:r>
        <w:t xml:space="preserve"> </w:t>
      </w:r>
      <w:proofErr w:type="spellStart"/>
      <w:r>
        <w:t>correlation</w:t>
      </w:r>
      <w:proofErr w:type="spellEnd"/>
      <w:r>
        <w:t xml:space="preserve"> </w:t>
      </w:r>
      <w:proofErr w:type="spellStart"/>
      <w:r>
        <w:t>risk</w:t>
      </w:r>
      <w:proofErr w:type="spellEnd"/>
      <w:r>
        <w:t xml:space="preserve">: </w:t>
      </w:r>
      <w:proofErr w:type="spellStart"/>
      <w:r>
        <w:t>An</w:t>
      </w:r>
      <w:proofErr w:type="spellEnd"/>
      <w:r>
        <w:t xml:space="preserve"> </w:t>
      </w:r>
      <w:proofErr w:type="spellStart"/>
      <w:r>
        <w:t>empirical</w:t>
      </w:r>
      <w:proofErr w:type="spellEnd"/>
      <w:r>
        <w:t xml:space="preserve"> </w:t>
      </w:r>
      <w:proofErr w:type="spellStart"/>
      <w:r>
        <w:t>analysis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Commodity</w:t>
      </w:r>
      <w:proofErr w:type="spellEnd"/>
      <w:r>
        <w:t xml:space="preserve"> </w:t>
      </w:r>
      <w:proofErr w:type="spellStart"/>
      <w:r>
        <w:t>Markets</w:t>
      </w:r>
      <w:proofErr w:type="spellEnd"/>
      <w:r>
        <w:t>, 25, 100202.</w:t>
      </w:r>
      <w:r>
        <w:t xml:space="preserve"> </w:t>
      </w:r>
      <w:hyperlink r:id="rId10" w:history="1">
        <w:r w:rsidRPr="00DE0C4C">
          <w:rPr>
            <w:rStyle w:val="Hipervnculo"/>
          </w:rPr>
          <w:t>https://www.sciencedirect.com/science/article/abs/pii/S2405851325000170</w:t>
        </w:r>
      </w:hyperlink>
      <w:r>
        <w:t xml:space="preserve"> </w:t>
      </w:r>
    </w:p>
    <w:p w14:paraId="5F63BB3F" w14:textId="13680F66" w:rsidR="002C211B" w:rsidRDefault="002C211B" w:rsidP="002C211B">
      <w:r>
        <w:t>Campos Arias, M. A. (2020). Fondo de estabilización del canon minero en el Perú [Tesis de maestría, Pontificia Universidad Católica del Perú].</w:t>
      </w:r>
      <w:r>
        <w:t xml:space="preserve"> </w:t>
      </w:r>
      <w:hyperlink r:id="rId11" w:history="1">
        <w:r w:rsidRPr="00DE0C4C">
          <w:rPr>
            <w:rStyle w:val="Hipervnculo"/>
          </w:rPr>
          <w:t>https://core.ac.uk/download/pdf/389471207.pdf</w:t>
        </w:r>
      </w:hyperlink>
      <w:r>
        <w:t xml:space="preserve"> </w:t>
      </w:r>
    </w:p>
    <w:p w14:paraId="506BBA45" w14:textId="5141175C" w:rsidR="002C211B" w:rsidRDefault="002C211B" w:rsidP="002C211B">
      <w:r>
        <w:t>Cruz-</w:t>
      </w:r>
      <w:proofErr w:type="spellStart"/>
      <w:r>
        <w:t>Lauracio</w:t>
      </w:r>
      <w:proofErr w:type="spellEnd"/>
      <w:r>
        <w:t>, J., &amp; Garabito-Monteagudo, E. (2025). El canon minero y el desarrollo socioeconómico en las regiones del Perú. Revista Gestionar, 5(2), 19-31.</w:t>
      </w:r>
      <w:r>
        <w:t xml:space="preserve"> </w:t>
      </w:r>
      <w:hyperlink r:id="rId12" w:history="1">
        <w:r w:rsidRPr="00DE0C4C">
          <w:rPr>
            <w:rStyle w:val="Hipervnculo"/>
          </w:rPr>
          <w:t>https://doi.org/10.35622/j.rg.2025.02.002</w:t>
        </w:r>
      </w:hyperlink>
      <w:r>
        <w:t xml:space="preserve"> </w:t>
      </w:r>
    </w:p>
    <w:p w14:paraId="594F312C" w14:textId="4A529E7A" w:rsidR="002C211B" w:rsidRDefault="002C211B" w:rsidP="002C211B">
      <w:r>
        <w:t>Huancas Donayre, F. J., Rondón Márquez, P. E., &amp; Riquelme Fernández, L. (2022). Las transferencias del canon minero y su efecto sobre el ingreso y empleo en el Perú. Revista de Economía del Desarrollo, 9(1), 45-67.</w:t>
      </w:r>
      <w:r>
        <w:t xml:space="preserve"> </w:t>
      </w:r>
      <w:hyperlink r:id="rId13" w:history="1">
        <w:r w:rsidRPr="00DE0C4C">
          <w:rPr>
            <w:rStyle w:val="Hipervnculo"/>
          </w:rPr>
          <w:t>https://repositorio.up.edu.pe/backend/api/core/bitstreams/9c9f707a-edfd-40e2-8073-8df1c916f146/content</w:t>
        </w:r>
      </w:hyperlink>
      <w:r>
        <w:t xml:space="preserve"> </w:t>
      </w:r>
    </w:p>
    <w:p w14:paraId="7BC9DA63" w14:textId="08587BC7" w:rsidR="002C211B" w:rsidRDefault="002C211B" w:rsidP="002C211B">
      <w:r>
        <w:t>Maldonado, S. (201</w:t>
      </w:r>
      <w:r w:rsidR="00ED48F8">
        <w:t>1</w:t>
      </w:r>
      <w:r>
        <w:t>). Boom minero y corrupción de funcionarios públicos de los gobiernos locales en el Perú: evidencia de un experimento natural. Revista Estudios Económicos del BCRP, 35, 1-20.</w:t>
      </w:r>
      <w:r>
        <w:t xml:space="preserve"> </w:t>
      </w:r>
      <w:hyperlink r:id="rId14" w:history="1">
        <w:r w:rsidRPr="00DE0C4C">
          <w:rPr>
            <w:rStyle w:val="Hipervnculo"/>
          </w:rPr>
          <w:t>https://cies.org.pe/wp-content/uploads/2016/07/boom_minero_y_corrupcion_de_funcionarios_publicos_0.pdf</w:t>
        </w:r>
      </w:hyperlink>
      <w:r>
        <w:t xml:space="preserve"> </w:t>
      </w:r>
    </w:p>
    <w:p w14:paraId="7225F997" w14:textId="64989587" w:rsidR="002C211B" w:rsidRDefault="002C211B" w:rsidP="002C211B">
      <w:r>
        <w:lastRenderedPageBreak/>
        <w:t>Mendoza, W., &amp; Anastasio, Y. (2021). La historia fiscal del Perú: 1980-2020. Colapso, estabilización, consolidación y el golpe de la COVID-19. Lima: Fondo Editorial PUCP.</w:t>
      </w:r>
      <w:r>
        <w:t xml:space="preserve"> </w:t>
      </w:r>
      <w:hyperlink r:id="rId15" w:history="1">
        <w:r w:rsidRPr="00DE0C4C">
          <w:rPr>
            <w:rStyle w:val="Hipervnculo"/>
          </w:rPr>
          <w:t>https://researchs.pucp.elogim.com/c/d6owsy/ebook-viewer/epub/vbbgdlgptv/section/navpoint3?auth-callid=5413b583-61ed-4c59-a994-41d440a14f92</w:t>
        </w:r>
      </w:hyperlink>
      <w:r>
        <w:t xml:space="preserve"> </w:t>
      </w:r>
    </w:p>
    <w:p w14:paraId="3077F007" w14:textId="5400DA08" w:rsidR="002C211B" w:rsidRDefault="002C211B" w:rsidP="002C211B">
      <w:r>
        <w:t>Sanguinetti, P. (2010). Canon minero y decisiones fiscales subnacionales en el Perú. Caracas: CAF.</w:t>
      </w:r>
      <w:r>
        <w:t xml:space="preserve"> </w:t>
      </w:r>
      <w:hyperlink r:id="rId16" w:history="1">
        <w:r w:rsidRPr="00DE0C4C">
          <w:rPr>
            <w:rStyle w:val="Hipervnculo"/>
          </w:rPr>
          <w:t>https://scioteca.caf.com/handle/123456789/204</w:t>
        </w:r>
      </w:hyperlink>
      <w:r>
        <w:t xml:space="preserve"> </w:t>
      </w:r>
    </w:p>
    <w:p w14:paraId="2829307A" w14:textId="3D40E5D8" w:rsidR="002C211B" w:rsidRDefault="002C211B" w:rsidP="002C211B">
      <w:r>
        <w:t>Sena Carhuamaca, D. A. (2019). Eficiencia económica del gasto de inversión pública financiado con recursos del canon minero en el Perú, 2004–2015 [Tesis de licenciatura, Universidad Nacional Agraria La Molina].</w:t>
      </w:r>
      <w:r>
        <w:t xml:space="preserve"> </w:t>
      </w:r>
      <w:hyperlink r:id="rId17" w:history="1">
        <w:r w:rsidRPr="00DE0C4C">
          <w:rPr>
            <w:rStyle w:val="Hipervnculo"/>
          </w:rPr>
          <w:t>https://repositorio.lamolina.edu.pe/items/772de211-383f-4fea-88df-130f57aa4c0a</w:t>
        </w:r>
      </w:hyperlink>
      <w:r>
        <w:t xml:space="preserve"> </w:t>
      </w:r>
    </w:p>
    <w:p w14:paraId="510A908C" w14:textId="65BCE1DD" w:rsidR="002C211B" w:rsidRDefault="002C211B" w:rsidP="002C211B">
      <w:proofErr w:type="spellStart"/>
      <w:r>
        <w:t>Şen</w:t>
      </w:r>
      <w:proofErr w:type="spellEnd"/>
      <w:r>
        <w:t xml:space="preserve">, A., </w:t>
      </w:r>
      <w:proofErr w:type="spellStart"/>
      <w:r>
        <w:t>Akpolat</w:t>
      </w:r>
      <w:proofErr w:type="spellEnd"/>
      <w:r>
        <w:t xml:space="preserve">, M., &amp; </w:t>
      </w:r>
      <w:proofErr w:type="spellStart"/>
      <w:r>
        <w:t>Balkan</w:t>
      </w:r>
      <w:proofErr w:type="spellEnd"/>
      <w:r>
        <w:t xml:space="preserve">, D. (2024). </w:t>
      </w:r>
      <w:proofErr w:type="spellStart"/>
      <w:r>
        <w:t>Commodity</w:t>
      </w:r>
      <w:proofErr w:type="spellEnd"/>
      <w:r>
        <w:t xml:space="preserve"> </w:t>
      </w:r>
      <w:proofErr w:type="spellStart"/>
      <w:r>
        <w:t>prices</w:t>
      </w:r>
      <w:proofErr w:type="spellEnd"/>
      <w:r>
        <w:t xml:space="preserve"> and </w:t>
      </w:r>
      <w:proofErr w:type="spellStart"/>
      <w:r>
        <w:t>economic</w:t>
      </w:r>
      <w:proofErr w:type="spellEnd"/>
      <w:r>
        <w:t xml:space="preserve"> </w:t>
      </w:r>
      <w:proofErr w:type="spellStart"/>
      <w:r>
        <w:t>growth</w:t>
      </w:r>
      <w:proofErr w:type="spellEnd"/>
      <w:r>
        <w:t xml:space="preserve">: </w:t>
      </w:r>
      <w:proofErr w:type="spellStart"/>
      <w:r>
        <w:t>Empirical</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countries</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income</w:t>
      </w:r>
      <w:proofErr w:type="spellEnd"/>
      <w:r>
        <w:t xml:space="preserve"> </w:t>
      </w:r>
      <w:proofErr w:type="spellStart"/>
      <w:r>
        <w:t>levels</w:t>
      </w:r>
      <w:proofErr w:type="spellEnd"/>
      <w:r>
        <w:t xml:space="preserve">. </w:t>
      </w:r>
      <w:proofErr w:type="spellStart"/>
      <w:r>
        <w:t>Resources</w:t>
      </w:r>
      <w:proofErr w:type="spellEnd"/>
      <w:r>
        <w:t xml:space="preserve"> </w:t>
      </w:r>
      <w:proofErr w:type="spellStart"/>
      <w:r>
        <w:t>Policy</w:t>
      </w:r>
      <w:proofErr w:type="spellEnd"/>
      <w:r>
        <w:t>, 87, 107042.</w:t>
      </w:r>
      <w:r>
        <w:t xml:space="preserve"> </w:t>
      </w:r>
      <w:hyperlink r:id="rId18" w:history="1">
        <w:r w:rsidRPr="00DE0C4C">
          <w:rPr>
            <w:rStyle w:val="Hipervnculo"/>
          </w:rPr>
          <w:t>https://www.sciencedirect.com/science/article/pii/S2405844024100692</w:t>
        </w:r>
      </w:hyperlink>
      <w:r>
        <w:t xml:space="preserve"> </w:t>
      </w:r>
    </w:p>
    <w:p w14:paraId="589BE32C" w14:textId="6188B3A2" w:rsidR="002C211B" w:rsidRDefault="002C211B" w:rsidP="002C211B">
      <w:r>
        <w:t>Távara, J. (20</w:t>
      </w:r>
      <w:r w:rsidR="00ED48F8">
        <w:t>12</w:t>
      </w:r>
      <w:r>
        <w:t>). Economía de la corrupción. En La lucha anticorrupción como política de Estado (pp. 41-63). Lima: Fondo Editorial PUCP.</w:t>
      </w:r>
      <w:r>
        <w:t xml:space="preserve"> </w:t>
      </w:r>
      <w:hyperlink r:id="rId19" w:history="1">
        <w:r w:rsidRPr="00DE0C4C">
          <w:rPr>
            <w:rStyle w:val="Hipervnculo"/>
          </w:rPr>
          <w:t>https://hdl.handle.net/20.500.14657/173133</w:t>
        </w:r>
      </w:hyperlink>
      <w:r>
        <w:t xml:space="preserve"> </w:t>
      </w:r>
    </w:p>
    <w:p w14:paraId="5DF56AAC" w14:textId="0203634C" w:rsidR="002C211B" w:rsidRDefault="002C211B" w:rsidP="002C211B">
      <w:r>
        <w:t xml:space="preserve">Vargas, J. A. (2015). ¿Existe un impacto significativo de la distribución del canon minero en las inversiones públicas regionales en el Perú? [Tesis de maestría, </w:t>
      </w:r>
      <w:proofErr w:type="spellStart"/>
      <w:r>
        <w:t>Universitat</w:t>
      </w:r>
      <w:proofErr w:type="spellEnd"/>
      <w:r>
        <w:t xml:space="preserve"> de Barcelona].</w:t>
      </w:r>
      <w:r>
        <w:t xml:space="preserve"> </w:t>
      </w:r>
      <w:hyperlink r:id="rId20" w:history="1">
        <w:r w:rsidRPr="00DE0C4C">
          <w:rPr>
            <w:rStyle w:val="Hipervnculo"/>
          </w:rPr>
          <w:t>https://diposit.ub.edu/dspace/handle/2445/66469</w:t>
        </w:r>
      </w:hyperlink>
      <w:r>
        <w:t xml:space="preserve"> </w:t>
      </w:r>
    </w:p>
    <w:p w14:paraId="6A85A872" w14:textId="08B15989" w:rsidR="00980ABF" w:rsidRPr="002C211B" w:rsidRDefault="002C211B">
      <w:r>
        <w:t>Zegarra, E. (202</w:t>
      </w:r>
      <w:r w:rsidR="00ED48F8">
        <w:t>4</w:t>
      </w:r>
      <w:r>
        <w:t>). Gran minería y transformaciones productivas en distritos mineros en el Perú: un análisis del periodo 2001-2019. Lima: Grade.</w:t>
      </w:r>
      <w:r>
        <w:t xml:space="preserve"> </w:t>
      </w:r>
      <w:hyperlink r:id="rId21" w:history="1">
        <w:r w:rsidRPr="00DE0C4C">
          <w:rPr>
            <w:rStyle w:val="Hipervnculo"/>
          </w:rPr>
          <w:t>https://grade.org.pe/publicaciones/transiciones-movilizacion-ciudadana-y-cambios-institucionales-lecciones-desde-territorios-con-mineria-a-gran-escala-en-el-peru-colombia-y-chile/</w:t>
        </w:r>
      </w:hyperlink>
      <w:r>
        <w:t xml:space="preserve"> </w:t>
      </w:r>
    </w:p>
    <w:sectPr w:rsidR="00980ABF" w:rsidRPr="002C21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A510FF"/>
    <w:multiLevelType w:val="hybridMultilevel"/>
    <w:tmpl w:val="4DC27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F9"/>
    <w:rsid w:val="00032FFE"/>
    <w:rsid w:val="0004087E"/>
    <w:rsid w:val="00054FFF"/>
    <w:rsid w:val="000A35C8"/>
    <w:rsid w:val="000C4AC4"/>
    <w:rsid w:val="00130AAD"/>
    <w:rsid w:val="00172AB4"/>
    <w:rsid w:val="001B04C6"/>
    <w:rsid w:val="001E77A2"/>
    <w:rsid w:val="001F0475"/>
    <w:rsid w:val="001F7920"/>
    <w:rsid w:val="00207238"/>
    <w:rsid w:val="00272BA4"/>
    <w:rsid w:val="00296E7E"/>
    <w:rsid w:val="002A5044"/>
    <w:rsid w:val="002C211B"/>
    <w:rsid w:val="002D3484"/>
    <w:rsid w:val="00301B07"/>
    <w:rsid w:val="00344B73"/>
    <w:rsid w:val="0035603B"/>
    <w:rsid w:val="00375D4B"/>
    <w:rsid w:val="0038248F"/>
    <w:rsid w:val="003A58A6"/>
    <w:rsid w:val="003D0A08"/>
    <w:rsid w:val="003F4B8B"/>
    <w:rsid w:val="004009F9"/>
    <w:rsid w:val="004635C4"/>
    <w:rsid w:val="00464361"/>
    <w:rsid w:val="004C369E"/>
    <w:rsid w:val="004D6C1E"/>
    <w:rsid w:val="004F19AB"/>
    <w:rsid w:val="005002FE"/>
    <w:rsid w:val="00513692"/>
    <w:rsid w:val="00514337"/>
    <w:rsid w:val="0052549B"/>
    <w:rsid w:val="005479AB"/>
    <w:rsid w:val="00564D3B"/>
    <w:rsid w:val="00584C6A"/>
    <w:rsid w:val="005A1568"/>
    <w:rsid w:val="005A6289"/>
    <w:rsid w:val="005C5814"/>
    <w:rsid w:val="005E47B8"/>
    <w:rsid w:val="005F0A76"/>
    <w:rsid w:val="00617B29"/>
    <w:rsid w:val="00651DF8"/>
    <w:rsid w:val="00657413"/>
    <w:rsid w:val="00660F53"/>
    <w:rsid w:val="006D47F0"/>
    <w:rsid w:val="007047CC"/>
    <w:rsid w:val="00730D22"/>
    <w:rsid w:val="00780EA8"/>
    <w:rsid w:val="00782584"/>
    <w:rsid w:val="00784A29"/>
    <w:rsid w:val="007C604F"/>
    <w:rsid w:val="007E2D6E"/>
    <w:rsid w:val="00812AE4"/>
    <w:rsid w:val="00880A1D"/>
    <w:rsid w:val="00882660"/>
    <w:rsid w:val="008C7316"/>
    <w:rsid w:val="00980ABF"/>
    <w:rsid w:val="0099587F"/>
    <w:rsid w:val="009A67E8"/>
    <w:rsid w:val="009C7667"/>
    <w:rsid w:val="009E05C2"/>
    <w:rsid w:val="00A1731B"/>
    <w:rsid w:val="00A707C0"/>
    <w:rsid w:val="00A75192"/>
    <w:rsid w:val="00AC5AEB"/>
    <w:rsid w:val="00AD0236"/>
    <w:rsid w:val="00B34C07"/>
    <w:rsid w:val="00B5261D"/>
    <w:rsid w:val="00B53075"/>
    <w:rsid w:val="00B77B6E"/>
    <w:rsid w:val="00BF7155"/>
    <w:rsid w:val="00C12A1C"/>
    <w:rsid w:val="00C13C2A"/>
    <w:rsid w:val="00C204ED"/>
    <w:rsid w:val="00C471D0"/>
    <w:rsid w:val="00C5103F"/>
    <w:rsid w:val="00C75C89"/>
    <w:rsid w:val="00C8524D"/>
    <w:rsid w:val="00CD41D0"/>
    <w:rsid w:val="00CF5A53"/>
    <w:rsid w:val="00D11BEF"/>
    <w:rsid w:val="00D16ABE"/>
    <w:rsid w:val="00D32D1E"/>
    <w:rsid w:val="00D875AF"/>
    <w:rsid w:val="00DE2ADE"/>
    <w:rsid w:val="00DE5336"/>
    <w:rsid w:val="00E22846"/>
    <w:rsid w:val="00E36475"/>
    <w:rsid w:val="00E42020"/>
    <w:rsid w:val="00EA3BA3"/>
    <w:rsid w:val="00EB017B"/>
    <w:rsid w:val="00EC576A"/>
    <w:rsid w:val="00ED423B"/>
    <w:rsid w:val="00ED48F8"/>
    <w:rsid w:val="00EF4306"/>
    <w:rsid w:val="00F00F57"/>
    <w:rsid w:val="00F67A8E"/>
    <w:rsid w:val="00F805CC"/>
    <w:rsid w:val="00FA7093"/>
    <w:rsid w:val="00FB4B27"/>
    <w:rsid w:val="00FF22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81891"/>
  <w15:chartTrackingRefBased/>
  <w15:docId w15:val="{D0E2718B-C8DF-44B4-8974-6533302B6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09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09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09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09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09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09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09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09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09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09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09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09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09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09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09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09F9"/>
    <w:rPr>
      <w:rFonts w:eastAsiaTheme="majorEastAsia" w:cstheme="majorBidi"/>
      <w:color w:val="272727" w:themeColor="text1" w:themeTint="D8"/>
    </w:rPr>
  </w:style>
  <w:style w:type="paragraph" w:styleId="Ttulo">
    <w:name w:val="Title"/>
    <w:basedOn w:val="Normal"/>
    <w:next w:val="Normal"/>
    <w:link w:val="TtuloCar"/>
    <w:uiPriority w:val="10"/>
    <w:qFormat/>
    <w:rsid w:val="0040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09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09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09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09F9"/>
    <w:pPr>
      <w:spacing w:before="160"/>
      <w:jc w:val="center"/>
    </w:pPr>
    <w:rPr>
      <w:i/>
      <w:iCs/>
      <w:color w:val="404040" w:themeColor="text1" w:themeTint="BF"/>
    </w:rPr>
  </w:style>
  <w:style w:type="character" w:customStyle="1" w:styleId="CitaCar">
    <w:name w:val="Cita Car"/>
    <w:basedOn w:val="Fuentedeprrafopredeter"/>
    <w:link w:val="Cita"/>
    <w:uiPriority w:val="29"/>
    <w:rsid w:val="004009F9"/>
    <w:rPr>
      <w:i/>
      <w:iCs/>
      <w:color w:val="404040" w:themeColor="text1" w:themeTint="BF"/>
    </w:rPr>
  </w:style>
  <w:style w:type="paragraph" w:styleId="Prrafodelista">
    <w:name w:val="List Paragraph"/>
    <w:basedOn w:val="Normal"/>
    <w:uiPriority w:val="34"/>
    <w:qFormat/>
    <w:rsid w:val="004009F9"/>
    <w:pPr>
      <w:ind w:left="720"/>
      <w:contextualSpacing/>
    </w:pPr>
  </w:style>
  <w:style w:type="character" w:styleId="nfasisintenso">
    <w:name w:val="Intense Emphasis"/>
    <w:basedOn w:val="Fuentedeprrafopredeter"/>
    <w:uiPriority w:val="21"/>
    <w:qFormat/>
    <w:rsid w:val="004009F9"/>
    <w:rPr>
      <w:i/>
      <w:iCs/>
      <w:color w:val="0F4761" w:themeColor="accent1" w:themeShade="BF"/>
    </w:rPr>
  </w:style>
  <w:style w:type="paragraph" w:styleId="Citadestacada">
    <w:name w:val="Intense Quote"/>
    <w:basedOn w:val="Normal"/>
    <w:next w:val="Normal"/>
    <w:link w:val="CitadestacadaCar"/>
    <w:uiPriority w:val="30"/>
    <w:qFormat/>
    <w:rsid w:val="0040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09F9"/>
    <w:rPr>
      <w:i/>
      <w:iCs/>
      <w:color w:val="0F4761" w:themeColor="accent1" w:themeShade="BF"/>
    </w:rPr>
  </w:style>
  <w:style w:type="character" w:styleId="Referenciaintensa">
    <w:name w:val="Intense Reference"/>
    <w:basedOn w:val="Fuentedeprrafopredeter"/>
    <w:uiPriority w:val="32"/>
    <w:qFormat/>
    <w:rsid w:val="004009F9"/>
    <w:rPr>
      <w:b/>
      <w:bCs/>
      <w:smallCaps/>
      <w:color w:val="0F4761" w:themeColor="accent1" w:themeShade="BF"/>
      <w:spacing w:val="5"/>
    </w:rPr>
  </w:style>
  <w:style w:type="character" w:styleId="Hipervnculo">
    <w:name w:val="Hyperlink"/>
    <w:basedOn w:val="Fuentedeprrafopredeter"/>
    <w:uiPriority w:val="99"/>
    <w:unhideWhenUsed/>
    <w:rsid w:val="009E05C2"/>
    <w:rPr>
      <w:color w:val="467886" w:themeColor="hyperlink"/>
      <w:u w:val="single"/>
    </w:rPr>
  </w:style>
  <w:style w:type="character" w:styleId="Mencinsinresolver">
    <w:name w:val="Unresolved Mention"/>
    <w:basedOn w:val="Fuentedeprrafopredeter"/>
    <w:uiPriority w:val="99"/>
    <w:semiHidden/>
    <w:unhideWhenUsed/>
    <w:rsid w:val="009E05C2"/>
    <w:rPr>
      <w:color w:val="605E5C"/>
      <w:shd w:val="clear" w:color="auto" w:fill="E1DFDD"/>
    </w:rPr>
  </w:style>
  <w:style w:type="character" w:styleId="Hipervnculovisitado">
    <w:name w:val="FollowedHyperlink"/>
    <w:basedOn w:val="Fuentedeprrafopredeter"/>
    <w:uiPriority w:val="99"/>
    <w:semiHidden/>
    <w:unhideWhenUsed/>
    <w:rsid w:val="00DE2A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6670624">
      <w:bodyDiv w:val="1"/>
      <w:marLeft w:val="0"/>
      <w:marRight w:val="0"/>
      <w:marTop w:val="0"/>
      <w:marBottom w:val="0"/>
      <w:divBdr>
        <w:top w:val="none" w:sz="0" w:space="0" w:color="auto"/>
        <w:left w:val="none" w:sz="0" w:space="0" w:color="auto"/>
        <w:bottom w:val="none" w:sz="0" w:space="0" w:color="auto"/>
        <w:right w:val="none" w:sz="0" w:space="0" w:color="auto"/>
      </w:divBdr>
      <w:divsChild>
        <w:div w:id="19501588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r.2024.101428" TargetMode="External"/><Relationship Id="rId13" Type="http://schemas.openxmlformats.org/officeDocument/2006/relationships/hyperlink" Target="https://repositorio.up.edu.pe/backend/api/core/bitstreams/9c9f707a-edfd-40e2-8073-8df1c916f146/content" TargetMode="External"/><Relationship Id="rId18" Type="http://schemas.openxmlformats.org/officeDocument/2006/relationships/hyperlink" Target="https://www.sciencedirect.com/science/article/pii/S2405844024100692" TargetMode="External"/><Relationship Id="rId3" Type="http://schemas.openxmlformats.org/officeDocument/2006/relationships/settings" Target="settings.xml"/><Relationship Id="rId21" Type="http://schemas.openxmlformats.org/officeDocument/2006/relationships/hyperlink" Target="https://grade.org.pe/publicaciones/transiciones-movilizacion-ciudadana-y-cambios-institucionales-lecciones-desde-territorios-con-mineria-a-gran-escala-en-el-peru-colombia-y-chile/" TargetMode="External"/><Relationship Id="rId7" Type="http://schemas.openxmlformats.org/officeDocument/2006/relationships/hyperlink" Target="https://isbn.bnp.gob.pe/catalogo.php?mode=detalle&amp;nt=158529" TargetMode="External"/><Relationship Id="rId12" Type="http://schemas.openxmlformats.org/officeDocument/2006/relationships/hyperlink" Target="https://doi.org/10.35622/j.rg.2025.02.002" TargetMode="External"/><Relationship Id="rId17" Type="http://schemas.openxmlformats.org/officeDocument/2006/relationships/hyperlink" Target="https://repositorio.lamolina.edu.pe/items/772de211-383f-4fea-88df-130f57aa4c0a" TargetMode="External"/><Relationship Id="rId2" Type="http://schemas.openxmlformats.org/officeDocument/2006/relationships/styles" Target="styles.xml"/><Relationship Id="rId16" Type="http://schemas.openxmlformats.org/officeDocument/2006/relationships/hyperlink" Target="https://scioteca.caf.com/handle/123456789/204" TargetMode="External"/><Relationship Id="rId20" Type="http://schemas.openxmlformats.org/officeDocument/2006/relationships/hyperlink" Target="https://diposit.ub.edu/dspace/handle/2445/66469" TargetMode="External"/><Relationship Id="rId1" Type="http://schemas.openxmlformats.org/officeDocument/2006/relationships/numbering" Target="numbering.xml"/><Relationship Id="rId6" Type="http://schemas.openxmlformats.org/officeDocument/2006/relationships/hyperlink" Target="https://laccei.org/LEIRD2022-VirtualEdition/full-papers/FP49.pdf" TargetMode="External"/><Relationship Id="rId11" Type="http://schemas.openxmlformats.org/officeDocument/2006/relationships/hyperlink" Target="https://core.ac.uk/download/pdf/389471207.pdf" TargetMode="External"/><Relationship Id="rId5" Type="http://schemas.openxmlformats.org/officeDocument/2006/relationships/hyperlink" Target="https://www.jstor.org/stable/41959246" TargetMode="External"/><Relationship Id="rId15" Type="http://schemas.openxmlformats.org/officeDocument/2006/relationships/hyperlink" Target="https://researchs.pucp.elogim.com/c/d6owsy/ebook-viewer/epub/vbbgdlgptv/section/navpoint3?auth-callid=5413b583-61ed-4c59-a994-41d440a14f92" TargetMode="External"/><Relationship Id="rId23" Type="http://schemas.openxmlformats.org/officeDocument/2006/relationships/theme" Target="theme/theme1.xml"/><Relationship Id="rId10" Type="http://schemas.openxmlformats.org/officeDocument/2006/relationships/hyperlink" Target="https://www.sciencedirect.com/science/article/abs/pii/S2405851325000170" TargetMode="External"/><Relationship Id="rId19" Type="http://schemas.openxmlformats.org/officeDocument/2006/relationships/hyperlink" Target="https://hdl.handle.net/20.500.14657/173133" TargetMode="External"/><Relationship Id="rId4" Type="http://schemas.openxmlformats.org/officeDocument/2006/relationships/webSettings" Target="webSettings.xml"/><Relationship Id="rId9" Type="http://schemas.openxmlformats.org/officeDocument/2006/relationships/hyperlink" Target="https://documentos.bancomundial.org/es/publication/documents-reports/documentdetail/448141632473923087" TargetMode="External"/><Relationship Id="rId14" Type="http://schemas.openxmlformats.org/officeDocument/2006/relationships/hyperlink" Target="https://cies.org.pe/wp-content/uploads/2016/07/boom_minero_y_corrupcion_de_funcionarios_publicos_0.pdf"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2320</Words>
  <Characters>12762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LUIS ENRIQUE PUICON NOLASCO</cp:lastModifiedBy>
  <cp:revision>9</cp:revision>
  <dcterms:created xsi:type="dcterms:W3CDTF">2025-10-14T01:22:00Z</dcterms:created>
  <dcterms:modified xsi:type="dcterms:W3CDTF">2025-10-14T03:33:00Z</dcterms:modified>
</cp:coreProperties>
</file>