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20"/>
        <w:jc w:val="center"/>
      </w:pPr>
      <w:r>
        <w:rPr>
          <w:rFonts w:ascii="Times New Roman" w:cs="Times New Roman" w:eastAsia="Times New Roman" w:hAnsi="Times New Roman"/>
          <w:b/>
          <w:bCs/>
          <w:color w:val="1F3864"/>
          <w:sz w:val="32"/>
          <w:szCs w:val="32"/>
        </w:rPr>
        <w:t xml:space="preserve">MARCO TEÓRICO</w:t>
      </w:r>
    </w:p>
    <w:p>
      <w:pPr>
        <w:spacing w:after="160" w:before="0"/>
        <w:jc w:val="center"/>
      </w:pPr>
      <w:r>
        <w:rPr>
          <w:rFonts w:ascii="Times New Roman" w:cs="Times New Roman" w:eastAsia="Times New Roman" w:hAnsi="Times New Roman"/>
          <w:i/>
          <w:iCs/>
          <w:sz w:val="24"/>
          <w:szCs w:val="24"/>
        </w:rPr>
        <w:t xml:space="preserve">Análisis de la correlación entre la calidad del aire y la tasa de</w:t>
      </w:r>
    </w:p>
    <w:p>
      <w:pPr>
        <w:spacing w:after="600" w:before="0"/>
        <w:jc w:val="center"/>
      </w:pPr>
      <w:r>
        <w:rPr>
          <w:rFonts w:ascii="Times New Roman" w:cs="Times New Roman" w:eastAsia="Times New Roman" w:hAnsi="Times New Roman"/>
          <w:i/>
          <w:iCs/>
          <w:sz w:val="24"/>
          <w:szCs w:val="24"/>
        </w:rPr>
        <w:t xml:space="preserve">mortalidad por enfermedades respiratorias en los departamentos de Colombia, 2024</w:t>
      </w:r>
    </w:p>
    <w:p>
      <w:pPr>
        <w:pStyle w:val="Heading1"/>
        <w:spacing w:after="200" w:before="400"/>
      </w:pPr>
      <w:r>
        <w:rPr>
          <w:rFonts w:ascii="Times New Roman" w:cs="Times New Roman" w:eastAsia="Times New Roman" w:hAnsi="Times New Roman"/>
          <w:b/>
          <w:bCs/>
          <w:color w:val="1F3864"/>
          <w:sz w:val="28"/>
          <w:szCs w:val="28"/>
        </w:rPr>
        <w:t xml:space="preserve">1. Calidad del Aire: Conceptos, Medición e Índice de Calidad del Aire (ICA)</w:t>
      </w:r>
    </w:p>
    <w:p>
      <w:pPr>
        <w:pStyle w:val="Heading2"/>
        <w:spacing w:after="160" w:before="300"/>
      </w:pPr>
      <w:r>
        <w:rPr>
          <w:rFonts w:ascii="Times New Roman" w:cs="Times New Roman" w:eastAsia="Times New Roman" w:hAnsi="Times New Roman"/>
          <w:b/>
          <w:bCs/>
          <w:color w:val="2E5496"/>
          <w:sz w:val="26"/>
          <w:szCs w:val="26"/>
        </w:rPr>
        <w:t xml:space="preserve">1.1 Definición y principales contaminantes atmosféricos</w:t>
      </w:r>
    </w:p>
    <w:p>
      <w:pPr>
        <w:spacing w:after="160" w:before="160" w:line="360"/>
        <w:jc w:val="both"/>
      </w:pPr>
      <w:r>
        <w:rPr>
          <w:rFonts w:ascii="Times New Roman" w:cs="Times New Roman" w:eastAsia="Times New Roman" w:hAnsi="Times New Roman"/>
          <w:sz w:val="24"/>
          <w:szCs w:val="24"/>
        </w:rPr>
        <w:t xml:space="preserve">La calidad del aire hace referencia a las concentraciones de sustancias contaminantes presentes en la atmósfera y que llegan a los receptores —personas, ecosistemas o superficies— tras ser transportadas y difundidas desde sus fuentes de emisión. Los contaminantes de mayor relevancia para la salud pública son el material particulado (PM), los óxidos de nitrógeno (NO</w:t>
      </w:r>
      <w:r>
        <w:rPr>
          <w:rFonts w:ascii="Times New Roman" w:cs="Times New Roman" w:eastAsia="Times New Roman" w:hAnsi="Times New Roman"/>
          <w:sz w:val="20"/>
          <w:szCs w:val="20"/>
          <w:vertAlign w:val="subscript"/>
        </w:rPr>
        <w:t xml:space="preserve">x</w:t>
      </w:r>
      <w:r>
        <w:rPr>
          <w:rFonts w:ascii="Times New Roman" w:cs="Times New Roman" w:eastAsia="Times New Roman" w:hAnsi="Times New Roman"/>
          <w:sz w:val="24"/>
          <w:szCs w:val="24"/>
        </w:rPr>
        <w:t xml:space="preserve">), el dióxido de azufre (SO</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4"/>
          <w:szCs w:val="24"/>
        </w:rPr>
        <w:t xml:space="preserve">), el monóxido de carbono (CO) y el ozono (O</w:t>
      </w:r>
      <w:r>
        <w:rPr>
          <w:rFonts w:ascii="Times New Roman" w:cs="Times New Roman" w:eastAsia="Times New Roman" w:hAnsi="Times New Roman"/>
          <w:sz w:val="20"/>
          <w:szCs w:val="20"/>
          <w:vertAlign w:val="subscript"/>
        </w:rPr>
        <w:t xml:space="preserve">3</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Saffon et al., 2022</w:t>
      </w:r>
      <w:r>
        <w:rPr>
          <w:rFonts w:ascii="Times New Roman" w:cs="Times New Roman" w:eastAsia="Times New Roman" w:hAnsi="Times New Roman"/>
          <w:sz w:val="24"/>
          <w:szCs w:val="24"/>
        </w:rPr>
        <w:t xml:space="preserve">). Estos contaminantes son producidos principalmente por fuentes móviles —el parque automotor—, fuentes fijas como industrias y centrales termoeléctricas, y la quema de biomasa o combustibles fósiles (</w:t>
      </w:r>
      <w:r>
        <w:rPr>
          <w:rFonts w:ascii="Times New Roman" w:cs="Times New Roman" w:eastAsia="Times New Roman" w:hAnsi="Times New Roman"/>
          <w:b/>
          <w:bCs/>
          <w:sz w:val="24"/>
          <w:szCs w:val="24"/>
        </w:rPr>
        <w:t xml:space="preserve">Carmona, 2009</w:t>
      </w:r>
      <w:r>
        <w:rPr>
          <w:rFonts w:ascii="Times New Roman" w:cs="Times New Roman" w:eastAsia="Times New Roman" w:hAnsi="Times New Roman"/>
          <w:sz w:val="24"/>
          <w:szCs w:val="24"/>
        </w:rPr>
        <w:t xml:space="preserve">).</w:t>
      </w:r>
    </w:p>
    <w:p>
      <w:pPr>
        <w:spacing w:after="160" w:before="160" w:line="360"/>
        <w:jc w:val="both"/>
      </w:pPr>
      <w:r>
        <w:rPr>
          <w:rFonts w:ascii="Times New Roman" w:cs="Times New Roman" w:eastAsia="Times New Roman" w:hAnsi="Times New Roman"/>
          <w:sz w:val="24"/>
          <w:szCs w:val="24"/>
        </w:rPr>
        <w:t xml:space="preserve">El material particulado constituye el contaminante de mayor preocupación en la investigación científica sobre salud ambiental. Se distinguen dos fracciones: el PM</w:t>
      </w:r>
      <w:r>
        <w:rPr>
          <w:rFonts w:ascii="Times New Roman" w:cs="Times New Roman" w:eastAsia="Times New Roman" w:hAnsi="Times New Roman"/>
          <w:sz w:val="20"/>
          <w:szCs w:val="20"/>
          <w:vertAlign w:val="subscript"/>
        </w:rPr>
        <w:t xml:space="preserve">10</w:t>
      </w:r>
      <w:r>
        <w:rPr>
          <w:rFonts w:ascii="Times New Roman" w:cs="Times New Roman" w:eastAsia="Times New Roman" w:hAnsi="Times New Roman"/>
          <w:sz w:val="24"/>
          <w:szCs w:val="24"/>
        </w:rPr>
        <w:t xml:space="preserve"> (partículas con diámetro aerodinámico menor a 10 micrómetros), que penetra hasta las vías respiratorias superiores y los bronquios, y el PM</w:t>
      </w:r>
      <w:r>
        <w:rPr>
          <w:rFonts w:ascii="Times New Roman" w:cs="Times New Roman" w:eastAsia="Times New Roman" w:hAnsi="Times New Roman"/>
          <w:sz w:val="20"/>
          <w:szCs w:val="20"/>
          <w:vertAlign w:val="subscript"/>
        </w:rPr>
        <w:t xml:space="preserve">2.5</w:t>
      </w:r>
      <w:r>
        <w:rPr>
          <w:rFonts w:ascii="Times New Roman" w:cs="Times New Roman" w:eastAsia="Times New Roman" w:hAnsi="Times New Roman"/>
          <w:sz w:val="24"/>
          <w:szCs w:val="24"/>
        </w:rPr>
        <w:t xml:space="preserve"> (partículas de diámetro menor a 2.5 micrómetros), que por su tamaño reducido alcanza los alvéolos pulmonares y puede ingresar al torrente sanguíneo, generando daños sistémicos. La Organización Mundial de la Salud (OMS) ha establecido como concentraciones de riesgo para el PM</w:t>
      </w:r>
      <w:r>
        <w:rPr>
          <w:rFonts w:ascii="Times New Roman" w:cs="Times New Roman" w:eastAsia="Times New Roman" w:hAnsi="Times New Roman"/>
          <w:sz w:val="20"/>
          <w:szCs w:val="20"/>
          <w:vertAlign w:val="subscript"/>
        </w:rPr>
        <w:t xml:space="preserve">10</w:t>
      </w:r>
      <w:r>
        <w:rPr>
          <w:rFonts w:ascii="Times New Roman" w:cs="Times New Roman" w:eastAsia="Times New Roman" w:hAnsi="Times New Roman"/>
          <w:sz w:val="24"/>
          <w:szCs w:val="24"/>
        </w:rPr>
        <w:t xml:space="preserve"> un promedio anual de 20 μg/m³ y una media diaria de 50 μg/m³; para el PM</w:t>
      </w:r>
      <w:r>
        <w:rPr>
          <w:rFonts w:ascii="Times New Roman" w:cs="Times New Roman" w:eastAsia="Times New Roman" w:hAnsi="Times New Roman"/>
          <w:sz w:val="20"/>
          <w:szCs w:val="20"/>
          <w:vertAlign w:val="subscript"/>
        </w:rPr>
        <w:t xml:space="preserve">2.5</w:t>
      </w:r>
      <w:r>
        <w:rPr>
          <w:rFonts w:ascii="Times New Roman" w:cs="Times New Roman" w:eastAsia="Times New Roman" w:hAnsi="Times New Roman"/>
          <w:sz w:val="24"/>
          <w:szCs w:val="24"/>
        </w:rPr>
        <w:t xml:space="preserve">, los límites son 10 μg/m³ anuales y 25 μg/m³ diarios (OMS, citada en </w:t>
      </w:r>
      <w:r>
        <w:rPr>
          <w:rFonts w:ascii="Times New Roman" w:cs="Times New Roman" w:eastAsia="Times New Roman" w:hAnsi="Times New Roman"/>
          <w:b/>
          <w:bCs/>
          <w:sz w:val="24"/>
          <w:szCs w:val="24"/>
        </w:rPr>
        <w:t xml:space="preserve">Gaviria et al., 2011</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Saffon et al., 2022</w:t>
      </w:r>
      <w:r>
        <w:rPr>
          <w:rFonts w:ascii="Times New Roman" w:cs="Times New Roman" w:eastAsia="Times New Roman" w:hAnsi="Times New Roman"/>
          <w:sz w:val="24"/>
          <w:szCs w:val="24"/>
        </w:rPr>
        <w:t xml:space="preserve">).</w:t>
      </w:r>
    </w:p>
    <w:p>
      <w:pPr>
        <w:pStyle w:val="Heading2"/>
        <w:spacing w:after="160" w:before="300"/>
      </w:pPr>
      <w:r>
        <w:rPr>
          <w:rFonts w:ascii="Times New Roman" w:cs="Times New Roman" w:eastAsia="Times New Roman" w:hAnsi="Times New Roman"/>
          <w:b/>
          <w:bCs/>
          <w:color w:val="2E5496"/>
          <w:sz w:val="26"/>
          <w:szCs w:val="26"/>
        </w:rPr>
        <w:t xml:space="preserve">1.2 El Índice de Calidad del Aire (ICA) y la Resolución 2254 de 2017</w:t>
      </w:r>
    </w:p>
    <w:p>
      <w:pPr>
        <w:spacing w:after="160" w:before="160" w:line="360"/>
        <w:jc w:val="both"/>
      </w:pPr>
      <w:r>
        <w:rPr>
          <w:rFonts w:ascii="Times New Roman" w:cs="Times New Roman" w:eastAsia="Times New Roman" w:hAnsi="Times New Roman"/>
          <w:sz w:val="24"/>
          <w:szCs w:val="24"/>
        </w:rPr>
        <w:t xml:space="preserve">Para comunicar de forma comprensible el estado del aire a la población y a los tomadores de decisiones, Colombia adoptó el Índice de Calidad del Aire (ICA), cuya metodología de cálculo está regulada por la Resolución 2254 de 2017 del Ministerio de Ambiente y Desarrollo Sostenible. Este instrumento transforma las concentraciones de cada contaminante criterio —PM</w:t>
      </w:r>
      <w:r>
        <w:rPr>
          <w:rFonts w:ascii="Times New Roman" w:cs="Times New Roman" w:eastAsia="Times New Roman" w:hAnsi="Times New Roman"/>
          <w:sz w:val="20"/>
          <w:szCs w:val="20"/>
          <w:vertAlign w:val="subscript"/>
        </w:rPr>
        <w:t xml:space="preserve">2.5</w:t>
      </w:r>
      <w:r>
        <w:rPr>
          <w:rFonts w:ascii="Times New Roman" w:cs="Times New Roman" w:eastAsia="Times New Roman" w:hAnsi="Times New Roman"/>
          <w:sz w:val="24"/>
          <w:szCs w:val="24"/>
        </w:rPr>
        <w:t xml:space="preserve">, PM</w:t>
      </w:r>
      <w:r>
        <w:rPr>
          <w:rFonts w:ascii="Times New Roman" w:cs="Times New Roman" w:eastAsia="Times New Roman" w:hAnsi="Times New Roman"/>
          <w:sz w:val="20"/>
          <w:szCs w:val="20"/>
          <w:vertAlign w:val="subscript"/>
        </w:rPr>
        <w:t xml:space="preserve">10</w:t>
      </w:r>
      <w:r>
        <w:rPr>
          <w:rFonts w:ascii="Times New Roman" w:cs="Times New Roman" w:eastAsia="Times New Roman" w:hAnsi="Times New Roman"/>
          <w:sz w:val="24"/>
          <w:szCs w:val="24"/>
        </w:rPr>
        <w:t xml:space="preserve">, NO</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4"/>
          <w:szCs w:val="24"/>
        </w:rPr>
        <w:t xml:space="preserve">, SO</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4"/>
          <w:szCs w:val="24"/>
        </w:rPr>
        <w:t xml:space="preserve">, CO y O</w:t>
      </w:r>
      <w:r>
        <w:rPr>
          <w:rFonts w:ascii="Times New Roman" w:cs="Times New Roman" w:eastAsia="Times New Roman" w:hAnsi="Times New Roman"/>
          <w:sz w:val="20"/>
          <w:szCs w:val="20"/>
          <w:vertAlign w:val="subscript"/>
        </w:rPr>
        <w:t xml:space="preserve">3</w:t>
      </w:r>
      <w:r>
        <w:rPr>
          <w:rFonts w:ascii="Times New Roman" w:cs="Times New Roman" w:eastAsia="Times New Roman" w:hAnsi="Times New Roman"/>
          <w:sz w:val="24"/>
          <w:szCs w:val="24"/>
        </w:rPr>
        <w:t xml:space="preserve">— en una escala adimensional de 0 a 500, segmentada en seis categorías de riesgo: Bueno (0–50), Aceptable (51–100), Dañino para grupos sensibles (101–150), Dañino (151–200), Muy dañino (201–300) y Peligroso (301–500). El ICA general se obtiene tomando el valor más alto entre los ICA individuales calculados para cada contaminante medido, de manera que refleje la condición de peor calidad registrada en un momento dado (Ministerio de Ambiente y Desarrollo Sostenible, 2017, referenciado en </w:t>
      </w:r>
      <w:r>
        <w:rPr>
          <w:rFonts w:ascii="Times New Roman" w:cs="Times New Roman" w:eastAsia="Times New Roman" w:hAnsi="Times New Roman"/>
          <w:b/>
          <w:bCs/>
          <w:sz w:val="24"/>
          <w:szCs w:val="24"/>
        </w:rPr>
        <w:t xml:space="preserve">Rodríguez-Villamizar et al., 2018</w:t>
      </w:r>
      <w:r>
        <w:rPr>
          <w:rFonts w:ascii="Times New Roman" w:cs="Times New Roman" w:eastAsia="Times New Roman" w:hAnsi="Times New Roman"/>
          <w:sz w:val="24"/>
          <w:szCs w:val="24"/>
        </w:rPr>
        <w:t xml:space="preserve">).</w:t>
      </w:r>
    </w:p>
    <w:p>
      <w:pPr>
        <w:spacing w:after="160" w:before="160" w:line="360"/>
        <w:jc w:val="both"/>
      </w:pPr>
      <w:r>
        <w:rPr>
          <w:rFonts w:ascii="Times New Roman" w:cs="Times New Roman" w:eastAsia="Times New Roman" w:hAnsi="Times New Roman"/>
          <w:sz w:val="24"/>
          <w:szCs w:val="24"/>
        </w:rPr>
        <w:t xml:space="preserve">El proyecto de investigación utiliza este marco normativo para clasificar las mediciones de calidad del aire obtenidas por estación y período, lo que permite establecer comparaciones estandarizadas entre los 32 departamentos de Colombia. La Resolución 2254/2017 establece, entre otros, límites permisibles de PM</w:t>
      </w:r>
      <w:r>
        <w:rPr>
          <w:rFonts w:ascii="Times New Roman" w:cs="Times New Roman" w:eastAsia="Times New Roman" w:hAnsi="Times New Roman"/>
          <w:sz w:val="20"/>
          <w:szCs w:val="20"/>
          <w:vertAlign w:val="subscript"/>
        </w:rPr>
        <w:t xml:space="preserve">10</w:t>
      </w:r>
      <w:r>
        <w:rPr>
          <w:rFonts w:ascii="Times New Roman" w:cs="Times New Roman" w:eastAsia="Times New Roman" w:hAnsi="Times New Roman"/>
          <w:sz w:val="24"/>
          <w:szCs w:val="24"/>
        </w:rPr>
        <w:t xml:space="preserve"> de 50 μg/m³ como promedio anual. </w:t>
      </w:r>
      <w:r>
        <w:rPr>
          <w:rFonts w:ascii="Times New Roman" w:cs="Times New Roman" w:eastAsia="Times New Roman" w:hAnsi="Times New Roman"/>
          <w:b/>
          <w:bCs/>
          <w:sz w:val="24"/>
          <w:szCs w:val="24"/>
        </w:rPr>
        <w:t xml:space="preserve">Saffon et al. (2022)</w:t>
      </w:r>
      <w:r>
        <w:rPr>
          <w:rFonts w:ascii="Times New Roman" w:cs="Times New Roman" w:eastAsia="Times New Roman" w:hAnsi="Times New Roman"/>
          <w:sz w:val="24"/>
          <w:szCs w:val="24"/>
        </w:rPr>
        <w:t xml:space="preserve"> advierten que estos umbrales nacionales difieren considerablemente de las directrices de la OMS, lo que se traduce en que un departamento puede cumplir técnicamente la norma colombiana y, al mismo tiempo, superar los niveles considerados seguros por los organismos internacionales de salud.</w:t>
      </w:r>
    </w:p>
    <w:p>
      <w:pPr>
        <w:pStyle w:val="Heading2"/>
        <w:spacing w:after="160" w:before="300"/>
      </w:pPr>
      <w:r>
        <w:rPr>
          <w:rFonts w:ascii="Times New Roman" w:cs="Times New Roman" w:eastAsia="Times New Roman" w:hAnsi="Times New Roman"/>
          <w:b/>
          <w:bCs/>
          <w:color w:val="2E5496"/>
          <w:sz w:val="26"/>
          <w:szCs w:val="26"/>
        </w:rPr>
        <w:t xml:space="preserve">1.3 Monitoreo atmosférico en Colombia: IDEAM y limitaciones de cobertura</w:t>
      </w:r>
    </w:p>
    <w:p>
      <w:pPr>
        <w:spacing w:after="160" w:before="160" w:line="360"/>
        <w:jc w:val="both"/>
      </w:pPr>
      <w:r>
        <w:rPr>
          <w:rFonts w:ascii="Times New Roman" w:cs="Times New Roman" w:eastAsia="Times New Roman" w:hAnsi="Times New Roman"/>
          <w:sz w:val="24"/>
          <w:szCs w:val="24"/>
        </w:rPr>
        <w:t xml:space="preserve">El Sistema de Vigilancia de Calidad del Aire (SVCA) de Colombia, coordinado por el Instituto de Hidrología, Meteorología y Estudios Ambientales (IDEAM) y las autoridades ambientales regionales, opera redes de estaciones de monitoreo en las principales ciudades del país. </w:t>
      </w:r>
      <w:r>
        <w:rPr>
          <w:rFonts w:ascii="Times New Roman" w:cs="Times New Roman" w:eastAsia="Times New Roman" w:hAnsi="Times New Roman"/>
          <w:b/>
          <w:bCs/>
          <w:sz w:val="24"/>
          <w:szCs w:val="24"/>
        </w:rPr>
        <w:t xml:space="preserve">Rodríguez-Villamizar et al. (2018)</w:t>
      </w:r>
      <w:r>
        <w:rPr>
          <w:rFonts w:ascii="Times New Roman" w:cs="Times New Roman" w:eastAsia="Times New Roman" w:hAnsi="Times New Roman"/>
          <w:sz w:val="24"/>
          <w:szCs w:val="24"/>
        </w:rPr>
        <w:t xml:space="preserve"> emplearon datos de 29 estaciones SVCA distribuidas entre Bogotá (13 estaciones), Medellín (7), Cali (5) y Bucaramanga (4) para cuantificar los efectos de corto plazo de la contaminación sobre la morbilidad en el período 2011-2014. Para Bogotá, </w:t>
      </w:r>
      <w:r>
        <w:rPr>
          <w:rFonts w:ascii="Times New Roman" w:cs="Times New Roman" w:eastAsia="Times New Roman" w:hAnsi="Times New Roman"/>
          <w:b/>
          <w:bCs/>
          <w:sz w:val="24"/>
          <w:szCs w:val="24"/>
        </w:rPr>
        <w:t xml:space="preserve">Zafra-Mejía et al. (2020)</w:t>
      </w:r>
      <w:r>
        <w:rPr>
          <w:rFonts w:ascii="Times New Roman" w:cs="Times New Roman" w:eastAsia="Times New Roman" w:hAnsi="Times New Roman"/>
          <w:sz w:val="24"/>
          <w:szCs w:val="24"/>
        </w:rPr>
        <w:t xml:space="preserve"> utilizaron tres estaciones automáticas de monitoreo —Kennedy, Barrios Unidos y Guaymaral— que reportaron promedios diarios de PM</w:t>
      </w:r>
      <w:r>
        <w:rPr>
          <w:rFonts w:ascii="Times New Roman" w:cs="Times New Roman" w:eastAsia="Times New Roman" w:hAnsi="Times New Roman"/>
          <w:sz w:val="20"/>
          <w:szCs w:val="20"/>
          <w:vertAlign w:val="subscript"/>
        </w:rPr>
        <w:t xml:space="preserve">10</w:t>
      </w:r>
      <w:r>
        <w:rPr>
          <w:rFonts w:ascii="Times New Roman" w:cs="Times New Roman" w:eastAsia="Times New Roman" w:hAnsi="Times New Roman"/>
          <w:sz w:val="24"/>
          <w:szCs w:val="24"/>
        </w:rPr>
        <w:t xml:space="preserve"> entre 34.9 y 85.9 μg/m³ durante el período 2007-2012, con concentraciones horarias máximas entre 52.3 y 135 μg/m³.</w:t>
      </w:r>
    </w:p>
    <w:p>
      <w:pPr>
        <w:spacing w:after="160" w:before="160" w:line="360"/>
        <w:jc w:val="both"/>
      </w:pPr>
      <w:r>
        <w:rPr>
          <w:rFonts w:ascii="Times New Roman" w:cs="Times New Roman" w:eastAsia="Times New Roman" w:hAnsi="Times New Roman"/>
          <w:sz w:val="24"/>
          <w:szCs w:val="24"/>
        </w:rPr>
        <w:t xml:space="preserve">Una limitación estructural relevante para el presente estudio es que los datos de calidad del aire del IDEAM no se encuentran disponibles de forma desagregada a nivel departamental para el año 2024. Esta restricción motivó la construcción de un conjunto de datos representativos basado en los rangos de concentración típicos documentados por el IDEAM y los estándares de la Resolución 2254/2017, y que fueron asignados a estaciones de monitoreo distribuidas en los departamentos de Colombia mediante técnicas de simulación estadística. Los rangos empleados —PM</w:t>
      </w:r>
      <w:r>
        <w:rPr>
          <w:rFonts w:ascii="Times New Roman" w:cs="Times New Roman" w:eastAsia="Times New Roman" w:hAnsi="Times New Roman"/>
          <w:sz w:val="20"/>
          <w:szCs w:val="20"/>
          <w:vertAlign w:val="subscript"/>
        </w:rPr>
        <w:t xml:space="preserve">2.5</w:t>
      </w:r>
      <w:r>
        <w:rPr>
          <w:rFonts w:ascii="Times New Roman" w:cs="Times New Roman" w:eastAsia="Times New Roman" w:hAnsi="Times New Roman"/>
          <w:sz w:val="24"/>
          <w:szCs w:val="24"/>
        </w:rPr>
        <w:t xml:space="preserve">: 5.0–75.0 μg/m³; PM</w:t>
      </w:r>
      <w:r>
        <w:rPr>
          <w:rFonts w:ascii="Times New Roman" w:cs="Times New Roman" w:eastAsia="Times New Roman" w:hAnsi="Times New Roman"/>
          <w:sz w:val="20"/>
          <w:szCs w:val="20"/>
          <w:vertAlign w:val="subscript"/>
        </w:rPr>
        <w:t xml:space="preserve">10</w:t>
      </w:r>
      <w:r>
        <w:rPr>
          <w:rFonts w:ascii="Times New Roman" w:cs="Times New Roman" w:eastAsia="Times New Roman" w:hAnsi="Times New Roman"/>
          <w:sz w:val="24"/>
          <w:szCs w:val="24"/>
        </w:rPr>
        <w:t xml:space="preserve">: 10.0–150.0 μg/m³; NO</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4"/>
          <w:szCs w:val="24"/>
        </w:rPr>
        <w:t xml:space="preserve">: 5.0–80.0 μg/m³; SO</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4"/>
          <w:szCs w:val="24"/>
        </w:rPr>
        <w:t xml:space="preserve">: 1.0–30.0 μg/m³; CO: 0.1–10.0 μg/m³; O</w:t>
      </w:r>
      <w:r>
        <w:rPr>
          <w:rFonts w:ascii="Times New Roman" w:cs="Times New Roman" w:eastAsia="Times New Roman" w:hAnsi="Times New Roman"/>
          <w:sz w:val="20"/>
          <w:szCs w:val="20"/>
          <w:vertAlign w:val="subscript"/>
        </w:rPr>
        <w:t xml:space="preserve">3</w:t>
      </w:r>
      <w:r>
        <w:rPr>
          <w:rFonts w:ascii="Times New Roman" w:cs="Times New Roman" w:eastAsia="Times New Roman" w:hAnsi="Times New Roman"/>
          <w:sz w:val="24"/>
          <w:szCs w:val="24"/>
        </w:rPr>
        <w:t xml:space="preserve">: 10.0–120.0 μg/m³— reflejan la variabilidad observada en estudios previos para ciudades colombianas (</w:t>
      </w:r>
      <w:r>
        <w:rPr>
          <w:rFonts w:ascii="Times New Roman" w:cs="Times New Roman" w:eastAsia="Times New Roman" w:hAnsi="Times New Roman"/>
          <w:b/>
          <w:bCs/>
          <w:sz w:val="24"/>
          <w:szCs w:val="24"/>
        </w:rPr>
        <w:t xml:space="preserve">Rodríguez-Villamizar et al., 2018; Zafra-Mejía et al., 2020; Gaviria et al., 2011</w:t>
      </w:r>
      <w:r>
        <w:rPr>
          <w:rFonts w:ascii="Times New Roman" w:cs="Times New Roman" w:eastAsia="Times New Roman" w:hAnsi="Times New Roman"/>
          <w:sz w:val="24"/>
          <w:szCs w:val="24"/>
        </w:rPr>
        <w:t xml:space="preserve">).</w:t>
      </w:r>
    </w:p>
    <w:p>
      <w:pPr>
        <w:pStyle w:val="Heading2"/>
        <w:spacing w:after="160" w:before="300"/>
      </w:pPr>
      <w:r>
        <w:rPr>
          <w:rFonts w:ascii="Times New Roman" w:cs="Times New Roman" w:eastAsia="Times New Roman" w:hAnsi="Times New Roman"/>
          <w:b/>
          <w:bCs/>
          <w:color w:val="2E5496"/>
          <w:sz w:val="26"/>
          <w:szCs w:val="26"/>
        </w:rPr>
        <w:t xml:space="preserve">1.4 Factores atmosféricos y variabilidad regional</w:t>
      </w:r>
    </w:p>
    <w:p>
      <w:pPr>
        <w:spacing w:after="160" w:before="160" w:line="360"/>
        <w:jc w:val="both"/>
      </w:pPr>
      <w:r>
        <w:rPr>
          <w:rFonts w:ascii="Times New Roman" w:cs="Times New Roman" w:eastAsia="Times New Roman" w:hAnsi="Times New Roman"/>
          <w:sz w:val="24"/>
          <w:szCs w:val="24"/>
        </w:rPr>
        <w:t xml:space="preserve">Las concentraciones de contaminantes en el aire no dependen únicamente de las emisiones, sino también de las condiciones meteorológicas que determinan su dispersión o acumulación. </w:t>
      </w:r>
      <w:r>
        <w:rPr>
          <w:rFonts w:ascii="Times New Roman" w:cs="Times New Roman" w:eastAsia="Times New Roman" w:hAnsi="Times New Roman"/>
          <w:b/>
          <w:bCs/>
          <w:sz w:val="24"/>
          <w:szCs w:val="24"/>
        </w:rPr>
        <w:t xml:space="preserve">Zafra-Mejía et al. (2020)</w:t>
      </w:r>
      <w:r>
        <w:rPr>
          <w:rFonts w:ascii="Times New Roman" w:cs="Times New Roman" w:eastAsia="Times New Roman" w:hAnsi="Times New Roman"/>
          <w:sz w:val="24"/>
          <w:szCs w:val="24"/>
        </w:rPr>
        <w:t xml:space="preserve"> demostraron que en Bogotá la condición atmosférica predominante durante el día —entre inestable y muy inestable— favorece la dispersión del PM</w:t>
      </w:r>
      <w:r>
        <w:rPr>
          <w:rFonts w:ascii="Times New Roman" w:cs="Times New Roman" w:eastAsia="Times New Roman" w:hAnsi="Times New Roman"/>
          <w:sz w:val="20"/>
          <w:szCs w:val="20"/>
          <w:vertAlign w:val="subscript"/>
        </w:rPr>
        <w:t xml:space="preserve">10</w:t>
      </w:r>
      <w:r>
        <w:rPr>
          <w:rFonts w:ascii="Times New Roman" w:cs="Times New Roman" w:eastAsia="Times New Roman" w:hAnsi="Times New Roman"/>
          <w:sz w:val="24"/>
          <w:szCs w:val="24"/>
        </w:rPr>
        <w:t xml:space="preserve">, mientras que durante la noche la estabilidad atmosférica tiende a elevar las concentraciones por baja dispersión. Variables como temperatura, humedad relativa, precipitación y velocidad del viento modulan significativamente el nivel de exposición de la población, razón por la cual deben ser incorporadas como variables de control en los modelos estadísticos de correlación (</w:t>
      </w:r>
      <w:r>
        <w:rPr>
          <w:rFonts w:ascii="Times New Roman" w:cs="Times New Roman" w:eastAsia="Times New Roman" w:hAnsi="Times New Roman"/>
          <w:b/>
          <w:bCs/>
          <w:sz w:val="24"/>
          <w:szCs w:val="24"/>
        </w:rPr>
        <w:t xml:space="preserve">Gaviria et al., 2011; Zafra-Mejía et al., 2020</w:t>
      </w:r>
      <w:r>
        <w:rPr>
          <w:rFonts w:ascii="Times New Roman" w:cs="Times New Roman" w:eastAsia="Times New Roman" w:hAnsi="Times New Roman"/>
          <w:sz w:val="24"/>
          <w:szCs w:val="24"/>
        </w:rPr>
        <w:t xml:space="preserve">).</w:t>
      </w:r>
    </w:p>
    <w:p>
      <w:pPr>
        <w:spacing w:after="160" w:before="160" w:line="360"/>
        <w:jc w:val="both"/>
      </w:pPr>
      <w:r>
        <w:rPr>
          <w:rFonts w:ascii="Times New Roman" w:cs="Times New Roman" w:eastAsia="Times New Roman" w:hAnsi="Times New Roman"/>
          <w:sz w:val="24"/>
          <w:szCs w:val="24"/>
        </w:rPr>
        <w:t xml:space="preserve">Colombia presenta una marcada heterogeneidad regional en sus condiciones climáticas y topográficas, con temperaturas que oscilan entre los 10°C en zonas de alta montaña y los 35°C en zonas costeras y llaneras, y altitudes que varían desde el nivel del mar hasta más de 2.600 metros sobre el nivel del mar. </w:t>
      </w:r>
      <w:r>
        <w:rPr>
          <w:rFonts w:ascii="Times New Roman" w:cs="Times New Roman" w:eastAsia="Times New Roman" w:hAnsi="Times New Roman"/>
          <w:b/>
          <w:bCs/>
          <w:sz w:val="24"/>
          <w:szCs w:val="24"/>
        </w:rPr>
        <w:t xml:space="preserve">Rodríguez-Villamizar et al. (2018)</w:t>
      </w:r>
      <w:r>
        <w:rPr>
          <w:rFonts w:ascii="Times New Roman" w:cs="Times New Roman" w:eastAsia="Times New Roman" w:hAnsi="Times New Roman"/>
          <w:sz w:val="24"/>
          <w:szCs w:val="24"/>
        </w:rPr>
        <w:t xml:space="preserve"> documentaron que los efectos de los contaminantes difieren significativamente entre ciudades, lo que se explica por las diferencias en la composición y mezcla de las partículas PM según las actividades industriales y de transporte de cada localidad, así como por la susceptibilidad específica de cada población. Esta heterogeneidad justifica la necesidad de un análisis a escala departamental.</w:t>
      </w:r>
    </w:p>
    <w:p>
      <w:pPr>
        <w:pStyle w:val="Heading1"/>
        <w:spacing w:after="200" w:before="400"/>
      </w:pPr>
      <w:r>
        <w:rPr>
          <w:rFonts w:ascii="Times New Roman" w:cs="Times New Roman" w:eastAsia="Times New Roman" w:hAnsi="Times New Roman"/>
          <w:b/>
          <w:bCs/>
          <w:color w:val="1F3864"/>
          <w:sz w:val="28"/>
          <w:szCs w:val="28"/>
        </w:rPr>
        <w:t xml:space="preserve">2. Enfermedades Respiratorias: Clasificación, Mecanismos y Mortalidad</w:t>
      </w:r>
    </w:p>
    <w:p>
      <w:pPr>
        <w:pStyle w:val="Heading2"/>
        <w:spacing w:after="160" w:before="300"/>
      </w:pPr>
      <w:r>
        <w:rPr>
          <w:rFonts w:ascii="Times New Roman" w:cs="Times New Roman" w:eastAsia="Times New Roman" w:hAnsi="Times New Roman"/>
          <w:b/>
          <w:bCs/>
          <w:color w:val="2E5496"/>
          <w:sz w:val="26"/>
          <w:szCs w:val="26"/>
        </w:rPr>
        <w:t xml:space="preserve">2.1 Tipos de enfermedades respiratorias asociadas a la contaminación del aire</w:t>
      </w:r>
    </w:p>
    <w:p>
      <w:pPr>
        <w:spacing w:after="160" w:before="160" w:line="360"/>
        <w:jc w:val="both"/>
      </w:pPr>
      <w:r>
        <w:rPr>
          <w:rFonts w:ascii="Times New Roman" w:cs="Times New Roman" w:eastAsia="Times New Roman" w:hAnsi="Times New Roman"/>
          <w:sz w:val="24"/>
          <w:szCs w:val="24"/>
        </w:rPr>
        <w:t xml:space="preserve">Las enfermedades del sistema respiratorio vinculadas a la exposición a contaminantes atmosféricos abarcan un espectro amplio de condiciones. </w:t>
      </w:r>
      <w:r>
        <w:rPr>
          <w:rFonts w:ascii="Times New Roman" w:cs="Times New Roman" w:eastAsia="Times New Roman" w:hAnsi="Times New Roman"/>
          <w:b/>
          <w:bCs/>
          <w:sz w:val="24"/>
          <w:szCs w:val="24"/>
        </w:rPr>
        <w:t xml:space="preserve">Carmona (2009)</w:t>
      </w:r>
      <w:r>
        <w:rPr>
          <w:rFonts w:ascii="Times New Roman" w:cs="Times New Roman" w:eastAsia="Times New Roman" w:hAnsi="Times New Roman"/>
          <w:sz w:val="24"/>
          <w:szCs w:val="24"/>
        </w:rPr>
        <w:t xml:space="preserve"> distingue dos grandes categorías: las enfermedades de etiología claramente identificada, como la neumonía de origen bacteriano o viral, y las de carácter multifactorial, como el asma y la bronquitis, cuya aparición y agravamiento está influenciada por la calidad del ambiente. Entre las principales enfermedades asociadas a la contaminación del aire se incluyen las infecciones respiratorias agudas (IRA), la enfermedad pulmonar obstructiva crónica (EPOC), el asma, la rinitis, la bronquitis crónica y el cáncer de pulmón (</w:t>
      </w:r>
      <w:r>
        <w:rPr>
          <w:rFonts w:ascii="Times New Roman" w:cs="Times New Roman" w:eastAsia="Times New Roman" w:hAnsi="Times New Roman"/>
          <w:b/>
          <w:bCs/>
          <w:sz w:val="24"/>
          <w:szCs w:val="24"/>
        </w:rPr>
        <w:t xml:space="preserve">Gaviria et al., 2011; Carmona, 2009</w:t>
      </w:r>
      <w:r>
        <w:rPr>
          <w:rFonts w:ascii="Times New Roman" w:cs="Times New Roman" w:eastAsia="Times New Roman" w:hAnsi="Times New Roman"/>
          <w:sz w:val="24"/>
          <w:szCs w:val="24"/>
        </w:rPr>
        <w:t xml:space="preserve">).</w:t>
      </w:r>
    </w:p>
    <w:p>
      <w:pPr>
        <w:spacing w:after="160" w:before="160" w:line="360"/>
        <w:jc w:val="both"/>
      </w:pPr>
      <w:r>
        <w:rPr>
          <w:rFonts w:ascii="Times New Roman" w:cs="Times New Roman" w:eastAsia="Times New Roman" w:hAnsi="Times New Roman"/>
          <w:sz w:val="24"/>
          <w:szCs w:val="24"/>
        </w:rPr>
        <w:t xml:space="preserve">Para efectos del presente estudio, la mortalidad por enfermedades respiratorias fue identificada a partir de los códigos de la Clasificación Estadística Internacional de Enfermedades y Problemas Relacionados con la Salud en su décima revisión (CIE-10), siguiendo el enfoque utilizado por </w:t>
      </w:r>
      <w:r>
        <w:rPr>
          <w:rFonts w:ascii="Times New Roman" w:cs="Times New Roman" w:eastAsia="Times New Roman" w:hAnsi="Times New Roman"/>
          <w:b/>
          <w:bCs/>
          <w:sz w:val="24"/>
          <w:szCs w:val="24"/>
        </w:rPr>
        <w:t xml:space="preserve">Piñeros-Jiménez et al. (2022)</w:t>
      </w:r>
      <w:r>
        <w:rPr>
          <w:rFonts w:ascii="Times New Roman" w:cs="Times New Roman" w:eastAsia="Times New Roman" w:hAnsi="Times New Roman"/>
          <w:sz w:val="24"/>
          <w:szCs w:val="24"/>
        </w:rPr>
        <w:t xml:space="preserve"> y </w:t>
      </w:r>
      <w:r>
        <w:rPr>
          <w:rFonts w:ascii="Times New Roman" w:cs="Times New Roman" w:eastAsia="Times New Roman" w:hAnsi="Times New Roman"/>
          <w:b/>
          <w:bCs/>
          <w:sz w:val="24"/>
          <w:szCs w:val="24"/>
        </w:rPr>
        <w:t xml:space="preserve">Rodríguez-Villamizar et al. (2018)</w:t>
      </w:r>
      <w:r>
        <w:rPr>
          <w:rFonts w:ascii="Times New Roman" w:cs="Times New Roman" w:eastAsia="Times New Roman" w:hAnsi="Times New Roman"/>
          <w:sz w:val="24"/>
          <w:szCs w:val="24"/>
        </w:rPr>
        <w:t xml:space="preserve">. Los grupos incluidos son: infecciones agudas del tracto respiratorio superior (J00–J06), influenza y neumonía (J09–J18), infecciones agudas del tracto respiratorio inferior (J20–J22), enfermedades crónicas del tracto respiratorio inferior (J40–J47), que incluyen EPOC y asma (J45–J46), y otras afecciones respiratorias (J60–J99), como enfermedades de origen ocupacional y afecciones de la pleura. La codificación fue realizada a partir de los microdatos de defunciones no fetales 2024 del Departamento Administrativo Nacional de Estadística (DANE), filtrados para incluir exclusivamente las muertes de causa natural (P_PMAN_IRIS = 0).</w:t>
      </w:r>
    </w:p>
    <w:p>
      <w:pPr>
        <w:pStyle w:val="Heading2"/>
        <w:spacing w:after="160" w:before="300"/>
      </w:pPr>
      <w:r>
        <w:rPr>
          <w:rFonts w:ascii="Times New Roman" w:cs="Times New Roman" w:eastAsia="Times New Roman" w:hAnsi="Times New Roman"/>
          <w:b/>
          <w:bCs/>
          <w:color w:val="2E5496"/>
          <w:sz w:val="26"/>
          <w:szCs w:val="26"/>
        </w:rPr>
        <w:t xml:space="preserve">2.2 Mecanismos fisiopatológicos de la contaminación sobre el sistema respiratorio</w:t>
      </w:r>
    </w:p>
    <w:p>
      <w:pPr>
        <w:spacing w:after="160" w:before="160" w:line="360"/>
        <w:jc w:val="both"/>
      </w:pPr>
      <w:r>
        <w:rPr>
          <w:rFonts w:ascii="Times New Roman" w:cs="Times New Roman" w:eastAsia="Times New Roman" w:hAnsi="Times New Roman"/>
          <w:sz w:val="24"/>
          <w:szCs w:val="24"/>
        </w:rPr>
        <w:t xml:space="preserve">El material particulado afecta al sistema respiratorio mediante mecanismos inflamatorios y oxidativos que varían según el tamaño de las partículas. El PM</w:t>
      </w:r>
      <w:r>
        <w:rPr>
          <w:rFonts w:ascii="Times New Roman" w:cs="Times New Roman" w:eastAsia="Times New Roman" w:hAnsi="Times New Roman"/>
          <w:sz w:val="20"/>
          <w:szCs w:val="20"/>
          <w:vertAlign w:val="subscript"/>
        </w:rPr>
        <w:t xml:space="preserve">10</w:t>
      </w:r>
      <w:r>
        <w:rPr>
          <w:rFonts w:ascii="Times New Roman" w:cs="Times New Roman" w:eastAsia="Times New Roman" w:hAnsi="Times New Roman"/>
          <w:sz w:val="24"/>
          <w:szCs w:val="24"/>
        </w:rPr>
        <w:t xml:space="preserve"> se deposita en las vías respiratorias superiores y puede causar irritación e inflamación local, mientras que el PM</w:t>
      </w:r>
      <w:r>
        <w:rPr>
          <w:rFonts w:ascii="Times New Roman" w:cs="Times New Roman" w:eastAsia="Times New Roman" w:hAnsi="Times New Roman"/>
          <w:sz w:val="20"/>
          <w:szCs w:val="20"/>
          <w:vertAlign w:val="subscript"/>
        </w:rPr>
        <w:t xml:space="preserve">2.5</w:t>
      </w:r>
      <w:r>
        <w:rPr>
          <w:rFonts w:ascii="Times New Roman" w:cs="Times New Roman" w:eastAsia="Times New Roman" w:hAnsi="Times New Roman"/>
          <w:sz w:val="24"/>
          <w:szCs w:val="24"/>
        </w:rPr>
        <w:t xml:space="preserve">, por su menor tamaño, penetra profundamente hasta los alvéolos pulmonares y puede ingresar al torrente sanguíneo, induciendo respuestas inflamatorias sistémicas (</w:t>
      </w:r>
      <w:r>
        <w:rPr>
          <w:rFonts w:ascii="Times New Roman" w:cs="Times New Roman" w:eastAsia="Times New Roman" w:hAnsi="Times New Roman"/>
          <w:b/>
          <w:bCs/>
          <w:sz w:val="24"/>
          <w:szCs w:val="24"/>
        </w:rPr>
        <w:t xml:space="preserve">Gaviria et al., 2011</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Carmona (2009)</w:t>
      </w:r>
      <w:r>
        <w:rPr>
          <w:rFonts w:ascii="Times New Roman" w:cs="Times New Roman" w:eastAsia="Times New Roman" w:hAnsi="Times New Roman"/>
          <w:sz w:val="24"/>
          <w:szCs w:val="24"/>
        </w:rPr>
        <w:t xml:space="preserve"> señala que las partículas finas emitidas por motores diésel inducen la muerte celular por apoptosis en las vías respiratorias, un proceso especialmente dañino dado que el PM</w:t>
      </w:r>
      <w:r>
        <w:rPr>
          <w:rFonts w:ascii="Times New Roman" w:cs="Times New Roman" w:eastAsia="Times New Roman" w:hAnsi="Times New Roman"/>
          <w:sz w:val="20"/>
          <w:szCs w:val="20"/>
          <w:vertAlign w:val="subscript"/>
        </w:rPr>
        <w:t xml:space="preserve">2.5</w:t>
      </w:r>
      <w:r>
        <w:rPr>
          <w:rFonts w:ascii="Times New Roman" w:cs="Times New Roman" w:eastAsia="Times New Roman" w:hAnsi="Times New Roman"/>
          <w:sz w:val="24"/>
          <w:szCs w:val="24"/>
        </w:rPr>
        <w:t xml:space="preserve"> no puede ser filtrado por los vellos nasales, a diferencia del PM</w:t>
      </w:r>
      <w:r>
        <w:rPr>
          <w:rFonts w:ascii="Times New Roman" w:cs="Times New Roman" w:eastAsia="Times New Roman" w:hAnsi="Times New Roman"/>
          <w:sz w:val="20"/>
          <w:szCs w:val="20"/>
          <w:vertAlign w:val="subscript"/>
        </w:rPr>
        <w:t xml:space="preserve">10</w:t>
      </w:r>
      <w:r>
        <w:rPr>
          <w:rFonts w:ascii="Times New Roman" w:cs="Times New Roman" w:eastAsia="Times New Roman" w:hAnsi="Times New Roman"/>
          <w:sz w:val="24"/>
          <w:szCs w:val="24"/>
        </w:rPr>
        <w:t xml:space="preserve">.</w:t>
      </w:r>
    </w:p>
    <w:p>
      <w:pPr>
        <w:spacing w:after="160" w:before="160" w:line="360"/>
        <w:jc w:val="both"/>
      </w:pPr>
      <w:r>
        <w:rPr>
          <w:rFonts w:ascii="Times New Roman" w:cs="Times New Roman" w:eastAsia="Times New Roman" w:hAnsi="Times New Roman"/>
          <w:sz w:val="24"/>
          <w:szCs w:val="24"/>
        </w:rPr>
        <w:t xml:space="preserve">Los contaminantes gaseosos como el NO</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4"/>
          <w:szCs w:val="24"/>
        </w:rPr>
        <w:t xml:space="preserve"> y el SO</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4"/>
          <w:szCs w:val="24"/>
        </w:rPr>
        <w:t xml:space="preserve"> contribuyen a la inflamación de las vías respiratorias, mientras que el O</w:t>
      </w:r>
      <w:r>
        <w:rPr>
          <w:rFonts w:ascii="Times New Roman" w:cs="Times New Roman" w:eastAsia="Times New Roman" w:hAnsi="Times New Roman"/>
          <w:sz w:val="20"/>
          <w:szCs w:val="20"/>
          <w:vertAlign w:val="subscript"/>
        </w:rPr>
        <w:t xml:space="preserve">3</w:t>
      </w:r>
      <w:r>
        <w:rPr>
          <w:rFonts w:ascii="Times New Roman" w:cs="Times New Roman" w:eastAsia="Times New Roman" w:hAnsi="Times New Roman"/>
          <w:sz w:val="24"/>
          <w:szCs w:val="24"/>
        </w:rPr>
        <w:t xml:space="preserve"> —un oxidante potente— produce daño directo en el tejido pulmonar. La exposición crónica a bajas concentraciones de PM</w:t>
      </w:r>
      <w:r>
        <w:rPr>
          <w:rFonts w:ascii="Times New Roman" w:cs="Times New Roman" w:eastAsia="Times New Roman" w:hAnsi="Times New Roman"/>
          <w:sz w:val="20"/>
          <w:szCs w:val="20"/>
          <w:vertAlign w:val="subscript"/>
        </w:rPr>
        <w:t xml:space="preserve">2.5</w:t>
      </w:r>
      <w:r>
        <w:rPr>
          <w:rFonts w:ascii="Times New Roman" w:cs="Times New Roman" w:eastAsia="Times New Roman" w:hAnsi="Times New Roman"/>
          <w:sz w:val="24"/>
          <w:szCs w:val="24"/>
        </w:rPr>
        <w:t xml:space="preserve"> se ha asociado con la reducción de la función pulmonar a largo plazo y el incremento del riesgo de desarrollar EPOC y cáncer de pulmón. La OMS estima que la contaminación del aire por PM</w:t>
      </w:r>
      <w:r>
        <w:rPr>
          <w:rFonts w:ascii="Times New Roman" w:cs="Times New Roman" w:eastAsia="Times New Roman" w:hAnsi="Times New Roman"/>
          <w:sz w:val="20"/>
          <w:szCs w:val="20"/>
          <w:vertAlign w:val="subscript"/>
        </w:rPr>
        <w:t xml:space="preserve">2.5</w:t>
      </w:r>
      <w:r>
        <w:rPr>
          <w:rFonts w:ascii="Times New Roman" w:cs="Times New Roman" w:eastAsia="Times New Roman" w:hAnsi="Times New Roman"/>
          <w:sz w:val="24"/>
          <w:szCs w:val="24"/>
        </w:rPr>
        <w:t xml:space="preserve"> es responsable de 3.1 millones de muertes anuales a nivel global y reduce la expectativa de vida en promedio 8.6 meses (OMS, 2013, citada en </w:t>
      </w:r>
      <w:r>
        <w:rPr>
          <w:rFonts w:ascii="Times New Roman" w:cs="Times New Roman" w:eastAsia="Times New Roman" w:hAnsi="Times New Roman"/>
          <w:b/>
          <w:bCs/>
          <w:sz w:val="24"/>
          <w:szCs w:val="24"/>
        </w:rPr>
        <w:t xml:space="preserve">Saffon et al., 2022</w:t>
      </w:r>
      <w:r>
        <w:rPr>
          <w:rFonts w:ascii="Times New Roman" w:cs="Times New Roman" w:eastAsia="Times New Roman" w:hAnsi="Times New Roman"/>
          <w:sz w:val="24"/>
          <w:szCs w:val="24"/>
        </w:rPr>
        <w:t xml:space="preserve">). Asimismo, aproximadamente el 3% de los casos de enfermedades cardiopulmonares y el 5% de los de cáncer de pulmón a nivel mundial son atribuidos al material particulado (</w:t>
      </w:r>
      <w:r>
        <w:rPr>
          <w:rFonts w:ascii="Times New Roman" w:cs="Times New Roman" w:eastAsia="Times New Roman" w:hAnsi="Times New Roman"/>
          <w:b/>
          <w:bCs/>
          <w:sz w:val="24"/>
          <w:szCs w:val="24"/>
        </w:rPr>
        <w:t xml:space="preserve">Saffon et al., 2022</w:t>
      </w:r>
      <w:r>
        <w:rPr>
          <w:rFonts w:ascii="Times New Roman" w:cs="Times New Roman" w:eastAsia="Times New Roman" w:hAnsi="Times New Roman"/>
          <w:sz w:val="24"/>
          <w:szCs w:val="24"/>
        </w:rPr>
        <w:t xml:space="preserve">).</w:t>
      </w:r>
    </w:p>
    <w:p>
      <w:pPr>
        <w:pStyle w:val="Heading2"/>
        <w:spacing w:after="160" w:before="300"/>
      </w:pPr>
      <w:r>
        <w:rPr>
          <w:rFonts w:ascii="Times New Roman" w:cs="Times New Roman" w:eastAsia="Times New Roman" w:hAnsi="Times New Roman"/>
          <w:b/>
          <w:bCs/>
          <w:color w:val="2E5496"/>
          <w:sz w:val="26"/>
          <w:szCs w:val="26"/>
        </w:rPr>
        <w:t xml:space="preserve">2.3 Infecciones respiratorias agudas: una problemática de salud pública</w:t>
      </w:r>
    </w:p>
    <w:p>
      <w:pPr>
        <w:spacing w:after="160" w:before="160" w:line="360"/>
        <w:jc w:val="both"/>
      </w:pPr>
      <w:r>
        <w:rPr>
          <w:rFonts w:ascii="Times New Roman" w:cs="Times New Roman" w:eastAsia="Times New Roman" w:hAnsi="Times New Roman"/>
          <w:sz w:val="24"/>
          <w:szCs w:val="24"/>
        </w:rPr>
        <w:t xml:space="preserve">Las infecciones respiratorias agudas (IRA) constituyen una de las principales causas de mortalidad a nivel global, con una incidencia especialmente elevada en países en vías de desarrollo. </w:t>
      </w:r>
      <w:r>
        <w:rPr>
          <w:rFonts w:ascii="Times New Roman" w:cs="Times New Roman" w:eastAsia="Times New Roman" w:hAnsi="Times New Roman"/>
          <w:b/>
          <w:bCs/>
          <w:sz w:val="24"/>
          <w:szCs w:val="24"/>
        </w:rPr>
        <w:t xml:space="preserve">Carmona (2009)</w:t>
      </w:r>
      <w:r>
        <w:rPr>
          <w:rFonts w:ascii="Times New Roman" w:cs="Times New Roman" w:eastAsia="Times New Roman" w:hAnsi="Times New Roman"/>
          <w:sz w:val="24"/>
          <w:szCs w:val="24"/>
        </w:rPr>
        <w:t xml:space="preserve"> reporta que las IRA —incluyendo influenza y neumonía— causan aproximadamente 3.5 millones de muertes anuales en el mundo. En Colombia, las IRA han ocupado históricamente los primeros lugares de morbimortalidad en niños menores de 5 años y adultos mayores, grupos que presentan mayor vulnerabilidad ante la contaminación atmosférica. El autor enfatiza que el medio ambiente, específicamente la calidad del aire y sus contaminantes, es uno de los factores responsables del origen, propagación y agravamiento de estas infecciones, en combinación con otras variables como el nivel de necesidades básicas insatisfechas, las condiciones de la vivienda y el acceso a servicios de salud.</w:t>
      </w:r>
    </w:p>
    <w:p>
      <w:pPr>
        <w:spacing w:after="160" w:before="160" w:line="360"/>
        <w:jc w:val="both"/>
      </w:pPr>
      <w:r>
        <w:rPr>
          <w:rFonts w:ascii="Times New Roman" w:cs="Times New Roman" w:eastAsia="Times New Roman" w:hAnsi="Times New Roman"/>
          <w:sz w:val="24"/>
          <w:szCs w:val="24"/>
        </w:rPr>
        <w:t xml:space="preserve">La contaminación en espacios cerrados —mediante la combustión de biomasa como madera y carbón mineral— también representa un factor de riesgo significativo para las IRA, especialmente en hogares con necesidades básicas insatisfechas y en zonas rurales de Colombia. </w:t>
      </w:r>
      <w:r>
        <w:rPr>
          <w:rFonts w:ascii="Times New Roman" w:cs="Times New Roman" w:eastAsia="Times New Roman" w:hAnsi="Times New Roman"/>
          <w:b/>
          <w:bCs/>
          <w:sz w:val="24"/>
          <w:szCs w:val="24"/>
        </w:rPr>
        <w:t xml:space="preserve">Carmona (2009)</w:t>
      </w:r>
      <w:r>
        <w:rPr>
          <w:rFonts w:ascii="Times New Roman" w:cs="Times New Roman" w:eastAsia="Times New Roman" w:hAnsi="Times New Roman"/>
          <w:sz w:val="24"/>
          <w:szCs w:val="24"/>
        </w:rPr>
        <w:t xml:space="preserve"> señala que esta fuente genera concentraciones de PM</w:t>
      </w:r>
      <w:r>
        <w:rPr>
          <w:rFonts w:ascii="Times New Roman" w:cs="Times New Roman" w:eastAsia="Times New Roman" w:hAnsi="Times New Roman"/>
          <w:sz w:val="20"/>
          <w:szCs w:val="20"/>
          <w:vertAlign w:val="subscript"/>
        </w:rPr>
        <w:t xml:space="preserve">10</w:t>
      </w:r>
      <w:r>
        <w:rPr>
          <w:rFonts w:ascii="Times New Roman" w:cs="Times New Roman" w:eastAsia="Times New Roman" w:hAnsi="Times New Roman"/>
          <w:sz w:val="24"/>
          <w:szCs w:val="24"/>
        </w:rPr>
        <w:t xml:space="preserve"> entre 200 y 500 μg/m³ en espacios interiores —valores que superan ampliamente el promedio diario permisible de 50 μg/m³ establecido por la EPA de Estados Unidos— y que se asocia con cuadros severos de IRA, EPOC y cáncer de pulmón.</w:t>
      </w:r>
    </w:p>
    <w:p>
      <w:pPr>
        <w:pStyle w:val="Heading1"/>
        <w:spacing w:after="200" w:before="400"/>
      </w:pPr>
      <w:r>
        <w:rPr>
          <w:rFonts w:ascii="Times New Roman" w:cs="Times New Roman" w:eastAsia="Times New Roman" w:hAnsi="Times New Roman"/>
          <w:b/>
          <w:bCs/>
          <w:color w:val="1F3864"/>
          <w:sz w:val="28"/>
          <w:szCs w:val="28"/>
        </w:rPr>
        <w:t xml:space="preserve">3. Evidencia Empírica de la Correlación entre Calidad del Aire y Mortalidad Respiratoria en Colombia</w:t>
      </w:r>
    </w:p>
    <w:p>
      <w:pPr>
        <w:pStyle w:val="Heading2"/>
        <w:spacing w:after="160" w:before="300"/>
      </w:pPr>
      <w:r>
        <w:rPr>
          <w:rFonts w:ascii="Times New Roman" w:cs="Times New Roman" w:eastAsia="Times New Roman" w:hAnsi="Times New Roman"/>
          <w:b/>
          <w:bCs/>
          <w:color w:val="2E5496"/>
          <w:sz w:val="26"/>
          <w:szCs w:val="26"/>
        </w:rPr>
        <w:t xml:space="preserve">3.1 Estudios en Medellín: series de tiempo y modelos econométricos</w:t>
      </w:r>
    </w:p>
    <w:p>
      <w:pPr>
        <w:spacing w:after="160" w:before="160" w:line="360"/>
        <w:jc w:val="both"/>
      </w:pPr>
      <w:r>
        <w:rPr>
          <w:rFonts w:ascii="Times New Roman" w:cs="Times New Roman" w:eastAsia="Times New Roman" w:hAnsi="Times New Roman"/>
          <w:sz w:val="24"/>
          <w:szCs w:val="24"/>
        </w:rPr>
        <w:t xml:space="preserve">El estudio de </w:t>
      </w:r>
      <w:r>
        <w:rPr>
          <w:rFonts w:ascii="Times New Roman" w:cs="Times New Roman" w:eastAsia="Times New Roman" w:hAnsi="Times New Roman"/>
          <w:b/>
          <w:bCs/>
          <w:sz w:val="24"/>
          <w:szCs w:val="24"/>
        </w:rPr>
        <w:t xml:space="preserve">Gaviria et al. (2011)</w:t>
      </w:r>
      <w:r>
        <w:rPr>
          <w:rFonts w:ascii="Times New Roman" w:cs="Times New Roman" w:eastAsia="Times New Roman" w:hAnsi="Times New Roman"/>
          <w:sz w:val="24"/>
          <w:szCs w:val="24"/>
        </w:rPr>
        <w:t xml:space="preserve"> constituye uno de los primeros análisis econométricos para Colombia que cuantifica de forma rigurosa la relación entre contaminación por material particulado y consultas hospitalarias por enfermedades respiratorias. Utilizando registros diarios de PM</w:t>
      </w:r>
      <w:r>
        <w:rPr>
          <w:rFonts w:ascii="Times New Roman" w:cs="Times New Roman" w:eastAsia="Times New Roman" w:hAnsi="Times New Roman"/>
          <w:sz w:val="20"/>
          <w:szCs w:val="20"/>
          <w:vertAlign w:val="subscript"/>
        </w:rPr>
        <w:t xml:space="preserve">10</w:t>
      </w:r>
      <w:r>
        <w:rPr>
          <w:rFonts w:ascii="Times New Roman" w:cs="Times New Roman" w:eastAsia="Times New Roman" w:hAnsi="Times New Roman"/>
          <w:sz w:val="24"/>
          <w:szCs w:val="24"/>
        </w:rPr>
        <w:t xml:space="preserve"> y PM</w:t>
      </w:r>
      <w:r>
        <w:rPr>
          <w:rFonts w:ascii="Times New Roman" w:cs="Times New Roman" w:eastAsia="Times New Roman" w:hAnsi="Times New Roman"/>
          <w:sz w:val="20"/>
          <w:szCs w:val="20"/>
          <w:vertAlign w:val="subscript"/>
        </w:rPr>
        <w:t xml:space="preserve">2.5</w:t>
      </w:r>
      <w:r>
        <w:rPr>
          <w:rFonts w:ascii="Times New Roman" w:cs="Times New Roman" w:eastAsia="Times New Roman" w:hAnsi="Times New Roman"/>
          <w:sz w:val="24"/>
          <w:szCs w:val="24"/>
        </w:rPr>
        <w:t xml:space="preserve"> de las estaciones de monitoreo de Medellín entre marzo de 2008 y diciembre de 2009, los autores estimaron diez modelos de series de tiempo mediante mínimos cuadrados ordinarios con corrección de White. Los resultados confirmaron una correlación positiva y estadísticamente significativa (p &lt; 0.001) entre la contaminación y las consultas por asma, bronquitis, infecciones y rinitis. Concretamente, un aumento del 10% en las emisiones de PM</w:t>
      </w:r>
      <w:r>
        <w:rPr>
          <w:rFonts w:ascii="Times New Roman" w:cs="Times New Roman" w:eastAsia="Times New Roman" w:hAnsi="Times New Roman"/>
          <w:sz w:val="20"/>
          <w:szCs w:val="20"/>
          <w:vertAlign w:val="subscript"/>
        </w:rPr>
        <w:t xml:space="preserve">10</w:t>
      </w:r>
      <w:r>
        <w:rPr>
          <w:rFonts w:ascii="Times New Roman" w:cs="Times New Roman" w:eastAsia="Times New Roman" w:hAnsi="Times New Roman"/>
          <w:sz w:val="24"/>
          <w:szCs w:val="24"/>
        </w:rPr>
        <w:t xml:space="preserve"> se asoció con un incremento del 6.2% en el total de consultas por enfermedades respiratorias, con el mayor efecto para rinitis (coeficiente de 1.45) y el menor para asma (0.38).</w:t>
      </w:r>
    </w:p>
    <w:p>
      <w:pPr>
        <w:spacing w:after="160" w:before="160" w:line="360"/>
        <w:jc w:val="both"/>
      </w:pPr>
      <w:r>
        <w:rPr>
          <w:rFonts w:ascii="Times New Roman" w:cs="Times New Roman" w:eastAsia="Times New Roman" w:hAnsi="Times New Roman"/>
          <w:sz w:val="24"/>
          <w:szCs w:val="24"/>
        </w:rPr>
        <w:t xml:space="preserve">En el mismo estudio, los modelos log-log con PM</w:t>
      </w:r>
      <w:r>
        <w:rPr>
          <w:rFonts w:ascii="Times New Roman" w:cs="Times New Roman" w:eastAsia="Times New Roman" w:hAnsi="Times New Roman"/>
          <w:sz w:val="20"/>
          <w:szCs w:val="20"/>
          <w:vertAlign w:val="subscript"/>
        </w:rPr>
        <w:t xml:space="preserve">2.5</w:t>
      </w:r>
      <w:r>
        <w:rPr>
          <w:rFonts w:ascii="Times New Roman" w:cs="Times New Roman" w:eastAsia="Times New Roman" w:hAnsi="Times New Roman"/>
          <w:sz w:val="24"/>
          <w:szCs w:val="24"/>
        </w:rPr>
        <w:t xml:space="preserve"> revelaron que un aumento del 10% en este contaminante incrementó las consultas totales por enfermedades respiratorias en 3.4%. Las variables de ajuste climático —precipitación con rezago de 7 días— mostraron efectos positivos y significativos sobre las consultas, mientras que las variables dummy de fin de semana evidenciaron una relación inversa, coherente con la reducción de fuentes móviles durante sábados y domingos. Los valores del coeficiente de determinación R² ajustado oscilaron entre 0.60 y 0.76, indicando que los modelos explicaron entre el 60% y el 76% de la variación en las consultas (</w:t>
      </w:r>
      <w:r>
        <w:rPr>
          <w:rFonts w:ascii="Times New Roman" w:cs="Times New Roman" w:eastAsia="Times New Roman" w:hAnsi="Times New Roman"/>
          <w:b/>
          <w:bCs/>
          <w:sz w:val="24"/>
          <w:szCs w:val="24"/>
        </w:rPr>
        <w:t xml:space="preserve">Gaviria et al., 2011</w:t>
      </w:r>
      <w:r>
        <w:rPr>
          <w:rFonts w:ascii="Times New Roman" w:cs="Times New Roman" w:eastAsia="Times New Roman" w:hAnsi="Times New Roman"/>
          <w:sz w:val="24"/>
          <w:szCs w:val="24"/>
        </w:rPr>
        <w:t xml:space="preserve">).</w:t>
      </w:r>
    </w:p>
    <w:p>
      <w:pPr>
        <w:pStyle w:val="Heading2"/>
        <w:spacing w:after="160" w:before="300"/>
      </w:pPr>
      <w:r>
        <w:rPr>
          <w:rFonts w:ascii="Times New Roman" w:cs="Times New Roman" w:eastAsia="Times New Roman" w:hAnsi="Times New Roman"/>
          <w:b/>
          <w:bCs/>
          <w:color w:val="2E5496"/>
          <w:sz w:val="26"/>
          <w:szCs w:val="26"/>
        </w:rPr>
        <w:t xml:space="preserve">3.2 Estudio en Manizales: regresión lineal y geolocalización de pacientes</w:t>
      </w:r>
    </w:p>
    <w:p>
      <w:pPr>
        <w:spacing w:after="160" w:before="160" w:line="360"/>
        <w:jc w:val="both"/>
      </w:pPr>
      <w:r>
        <w:rPr>
          <w:rFonts w:ascii="Times New Roman" w:cs="Times New Roman" w:eastAsia="Times New Roman" w:hAnsi="Times New Roman"/>
          <w:sz w:val="24"/>
          <w:szCs w:val="24"/>
        </w:rPr>
        <w:t xml:space="preserve">En Manizales, </w:t>
      </w:r>
      <w:r>
        <w:rPr>
          <w:rFonts w:ascii="Times New Roman" w:cs="Times New Roman" w:eastAsia="Times New Roman" w:hAnsi="Times New Roman"/>
          <w:b/>
          <w:bCs/>
          <w:sz w:val="24"/>
          <w:szCs w:val="24"/>
        </w:rPr>
        <w:t xml:space="preserve">Saffon et al. (2022)</w:t>
      </w:r>
      <w:r>
        <w:rPr>
          <w:rFonts w:ascii="Times New Roman" w:cs="Times New Roman" w:eastAsia="Times New Roman" w:hAnsi="Times New Roman"/>
          <w:sz w:val="24"/>
          <w:szCs w:val="24"/>
        </w:rPr>
        <w:t xml:space="preserve"> correlacionaron los niveles de PM</w:t>
      </w:r>
      <w:r>
        <w:rPr>
          <w:rFonts w:ascii="Times New Roman" w:cs="Times New Roman" w:eastAsia="Times New Roman" w:hAnsi="Times New Roman"/>
          <w:sz w:val="20"/>
          <w:szCs w:val="20"/>
          <w:vertAlign w:val="subscript"/>
        </w:rPr>
        <w:t xml:space="preserve">10</w:t>
      </w:r>
      <w:r>
        <w:rPr>
          <w:rFonts w:ascii="Times New Roman" w:cs="Times New Roman" w:eastAsia="Times New Roman" w:hAnsi="Times New Roman"/>
          <w:sz w:val="24"/>
          <w:szCs w:val="24"/>
        </w:rPr>
        <w:t xml:space="preserve"> con la frecuencia de enfermedades respiratorias en 1.305 pacientes atendidos durante 2019, utilizando 72 regresiones lineales organizadas por estación de monitoreo, trimestre anual y tipo de enfermedad. El modelo empleado fue Y = β₀ + β₁X, donde X correspondió a la concentración de PM</w:t>
      </w:r>
      <w:r>
        <w:rPr>
          <w:rFonts w:ascii="Times New Roman" w:cs="Times New Roman" w:eastAsia="Times New Roman" w:hAnsi="Times New Roman"/>
          <w:sz w:val="20"/>
          <w:szCs w:val="20"/>
          <w:vertAlign w:val="subscript"/>
        </w:rPr>
        <w:t xml:space="preserve">10</w:t>
      </w:r>
      <w:r>
        <w:rPr>
          <w:rFonts w:ascii="Times New Roman" w:cs="Times New Roman" w:eastAsia="Times New Roman" w:hAnsi="Times New Roman"/>
          <w:sz w:val="24"/>
          <w:szCs w:val="24"/>
        </w:rPr>
        <w:t xml:space="preserve"> y Y al número de pacientes por tipo de enfermedad. Los resultados evidenciaron relaciones directas y estadísticamente significativas (p &lt; 0.05) en las estaciones Gobernación y Palogrande, con coeficientes de determinación R² de hasta 0.59 para rinitis en el tercer trimestre. La rinitis resultó ser la afección con mayor número de pacientes (800) y la mayor relación con PM</w:t>
      </w:r>
      <w:r>
        <w:rPr>
          <w:rFonts w:ascii="Times New Roman" w:cs="Times New Roman" w:eastAsia="Times New Roman" w:hAnsi="Times New Roman"/>
          <w:sz w:val="20"/>
          <w:szCs w:val="20"/>
          <w:vertAlign w:val="subscript"/>
        </w:rPr>
        <w:t xml:space="preserve">10</w:t>
      </w:r>
      <w:r>
        <w:rPr>
          <w:rFonts w:ascii="Times New Roman" w:cs="Times New Roman" w:eastAsia="Times New Roman" w:hAnsi="Times New Roman"/>
          <w:sz w:val="24"/>
          <w:szCs w:val="24"/>
        </w:rPr>
        <w:t xml:space="preserve">, seguida por asma (271 pacientes) y bronquitis (203 pacientes).</w:t>
      </w:r>
    </w:p>
    <w:p>
      <w:pPr>
        <w:spacing w:after="160" w:before="160" w:line="360"/>
        <w:jc w:val="both"/>
      </w:pPr>
      <w:r>
        <w:rPr>
          <w:rFonts w:ascii="Times New Roman" w:cs="Times New Roman" w:eastAsia="Times New Roman" w:hAnsi="Times New Roman"/>
          <w:sz w:val="24"/>
          <w:szCs w:val="24"/>
        </w:rPr>
        <w:t xml:space="preserve">Este estudio es metodológicamente relevante para el proyecto de investigación propuesto, ya que ilustra cómo la geolocalización de los pacientes por dirección de residencia permite vincular la exposición al contaminante con los casos de enfermedad por área geográfica. La metodología de regresión lineal simple entre concentración de PM y frecuencia de enfermedad, con evaluación del R² y el valor P, es análoga al análisis de correlación que el presente estudio aplica a escala departamental (</w:t>
      </w:r>
      <w:r>
        <w:rPr>
          <w:rFonts w:ascii="Times New Roman" w:cs="Times New Roman" w:eastAsia="Times New Roman" w:hAnsi="Times New Roman"/>
          <w:b/>
          <w:bCs/>
          <w:sz w:val="24"/>
          <w:szCs w:val="24"/>
        </w:rPr>
        <w:t xml:space="preserve">Saffon et al., 2022</w:t>
      </w:r>
      <w:r>
        <w:rPr>
          <w:rFonts w:ascii="Times New Roman" w:cs="Times New Roman" w:eastAsia="Times New Roman" w:hAnsi="Times New Roman"/>
          <w:sz w:val="24"/>
          <w:szCs w:val="24"/>
        </w:rPr>
        <w:t xml:space="preserve">).</w:t>
      </w:r>
    </w:p>
    <w:p>
      <w:pPr>
        <w:pStyle w:val="Heading2"/>
        <w:spacing w:after="160" w:before="300"/>
      </w:pPr>
      <w:r>
        <w:rPr>
          <w:rFonts w:ascii="Times New Roman" w:cs="Times New Roman" w:eastAsia="Times New Roman" w:hAnsi="Times New Roman"/>
          <w:b/>
          <w:bCs/>
          <w:color w:val="2E5496"/>
          <w:sz w:val="26"/>
          <w:szCs w:val="26"/>
        </w:rPr>
        <w:t xml:space="preserve">3.3 Estudio multicéntrico en Colombia: efectos sobre morbilidad 2011-2014</w:t>
      </w:r>
    </w:p>
    <w:p>
      <w:pPr>
        <w:spacing w:after="160" w:before="160" w:line="360"/>
        <w:jc w:val="both"/>
      </w:pPr>
      <w:r>
        <w:rPr>
          <w:rFonts w:ascii="Times New Roman" w:cs="Times New Roman" w:eastAsia="Times New Roman" w:hAnsi="Times New Roman"/>
          <w:sz w:val="24"/>
          <w:szCs w:val="24"/>
        </w:rPr>
        <w:t xml:space="preserve">El trabajo de </w:t>
      </w:r>
      <w:r>
        <w:rPr>
          <w:rFonts w:ascii="Times New Roman" w:cs="Times New Roman" w:eastAsia="Times New Roman" w:hAnsi="Times New Roman"/>
          <w:b/>
          <w:bCs/>
          <w:sz w:val="24"/>
          <w:szCs w:val="24"/>
        </w:rPr>
        <w:t xml:space="preserve">Rodríguez-Villamizar et al. (2018)</w:t>
      </w:r>
      <w:r>
        <w:rPr>
          <w:rFonts w:ascii="Times New Roman" w:cs="Times New Roman" w:eastAsia="Times New Roman" w:hAnsi="Times New Roman"/>
          <w:sz w:val="24"/>
          <w:szCs w:val="24"/>
        </w:rPr>
        <w:t xml:space="preserve"> representa la referencia más robusta disponible sobre los efectos de la contaminación del aire en la salud de la población colombiana a escala nacional. Analizando 3.879.383 visitas a urgencias en Bogotá, Bucaramanga, Cali y Medellín entre 2011 y 2014, los autores emplearon modelos de regresión binomial negativa condicional con ecuaciones de estimación generalizadas (GEE), estratificados por ciudad, contaminante, grupo de edad y día de semana. Los resultados mostraron que NO</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4"/>
          <w:szCs w:val="24"/>
        </w:rPr>
        <w:t xml:space="preserve">, PM</w:t>
      </w:r>
      <w:r>
        <w:rPr>
          <w:rFonts w:ascii="Times New Roman" w:cs="Times New Roman" w:eastAsia="Times New Roman" w:hAnsi="Times New Roman"/>
          <w:sz w:val="20"/>
          <w:szCs w:val="20"/>
          <w:vertAlign w:val="subscript"/>
        </w:rPr>
        <w:t xml:space="preserve">10</w:t>
      </w:r>
      <w:r>
        <w:rPr>
          <w:rFonts w:ascii="Times New Roman" w:cs="Times New Roman" w:eastAsia="Times New Roman" w:hAnsi="Times New Roman"/>
          <w:sz w:val="24"/>
          <w:szCs w:val="24"/>
        </w:rPr>
        <w:t xml:space="preserve"> y PM</w:t>
      </w:r>
      <w:r>
        <w:rPr>
          <w:rFonts w:ascii="Times New Roman" w:cs="Times New Roman" w:eastAsia="Times New Roman" w:hAnsi="Times New Roman"/>
          <w:sz w:val="20"/>
          <w:szCs w:val="20"/>
          <w:vertAlign w:val="subscript"/>
        </w:rPr>
        <w:t xml:space="preserve">2.5</w:t>
      </w:r>
      <w:r>
        <w:rPr>
          <w:rFonts w:ascii="Times New Roman" w:cs="Times New Roman" w:eastAsia="Times New Roman" w:hAnsi="Times New Roman"/>
          <w:sz w:val="24"/>
          <w:szCs w:val="24"/>
        </w:rPr>
        <w:t xml:space="preserve"> produjeron incrementos porcentuales estadísticamente significativos en las visitas por enfermedades respiratorias, especialmente en niños de 5 a 9 años; y en visitas por enfermedades cardiovasculares y cerebrovasculares, especialmente en adultos mayores de 60 años.</w:t>
      </w:r>
    </w:p>
    <w:p>
      <w:pPr>
        <w:spacing w:after="160" w:before="160" w:line="360"/>
        <w:jc w:val="both"/>
      </w:pPr>
      <w:r>
        <w:rPr>
          <w:rFonts w:ascii="Times New Roman" w:cs="Times New Roman" w:eastAsia="Times New Roman" w:hAnsi="Times New Roman"/>
          <w:sz w:val="24"/>
          <w:szCs w:val="24"/>
        </w:rPr>
        <w:t xml:space="preserve">Un hallazgo particularmente relevante para el presente estudio es que estos efectos se observaron incluso cuando los promedios anuales de contaminantes se encontraban por debajo de los estándares establecidos por la legislación colombiana y, en el caso de NO</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4"/>
          <w:szCs w:val="24"/>
        </w:rPr>
        <w:t xml:space="preserve"> y SO</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4"/>
          <w:szCs w:val="24"/>
        </w:rPr>
        <w:t xml:space="preserve">, por debajo de las guías de calidad del aire de la OMS. Esto sugiere que el cumplimiento técnico de las normas nacionales no es garantía de ausencia de daño en la salud pública (</w:t>
      </w:r>
      <w:r>
        <w:rPr>
          <w:rFonts w:ascii="Times New Roman" w:cs="Times New Roman" w:eastAsia="Times New Roman" w:hAnsi="Times New Roman"/>
          <w:b/>
          <w:bCs/>
          <w:sz w:val="24"/>
          <w:szCs w:val="24"/>
        </w:rPr>
        <w:t xml:space="preserve">Rodríguez-Villamizar et al., 2018</w:t>
      </w:r>
      <w:r>
        <w:rPr>
          <w:rFonts w:ascii="Times New Roman" w:cs="Times New Roman" w:eastAsia="Times New Roman" w:hAnsi="Times New Roman"/>
          <w:sz w:val="24"/>
          <w:szCs w:val="24"/>
        </w:rPr>
        <w:t xml:space="preserve">). El estudio también documentó efectos heterogéneos entre ciudades, lo que subraya la importancia de los análisis con desagregación territorial para la toma de decisiones en política pública.</w:t>
      </w:r>
    </w:p>
    <w:p>
      <w:pPr>
        <w:pStyle w:val="Heading2"/>
        <w:spacing w:after="160" w:before="300"/>
      </w:pPr>
      <w:r>
        <w:rPr>
          <w:rFonts w:ascii="Times New Roman" w:cs="Times New Roman" w:eastAsia="Times New Roman" w:hAnsi="Times New Roman"/>
          <w:b/>
          <w:bCs/>
          <w:color w:val="2E5496"/>
          <w:sz w:val="26"/>
          <w:szCs w:val="26"/>
        </w:rPr>
        <w:t xml:space="preserve">3.4 Distribución espacial de la morbimortalidad atribuible al PM₂.₅ en Medellín</w:t>
      </w:r>
    </w:p>
    <w:p>
      <w:pPr>
        <w:spacing w:after="160" w:before="16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Piñeros-Jiménez et al. (2022)</w:t>
      </w:r>
      <w:r>
        <w:rPr>
          <w:rFonts w:ascii="Times New Roman" w:cs="Times New Roman" w:eastAsia="Times New Roman" w:hAnsi="Times New Roman"/>
          <w:sz w:val="24"/>
          <w:szCs w:val="24"/>
        </w:rPr>
        <w:t xml:space="preserve"> desarrollaron el primer análisis espacial de la morbimortalidad atribuible a la contaminación del aire por PM</w:t>
      </w:r>
      <w:r>
        <w:rPr>
          <w:rFonts w:ascii="Times New Roman" w:cs="Times New Roman" w:eastAsia="Times New Roman" w:hAnsi="Times New Roman"/>
          <w:sz w:val="20"/>
          <w:szCs w:val="20"/>
          <w:vertAlign w:val="subscript"/>
        </w:rPr>
        <w:t xml:space="preserve">2.5</w:t>
      </w:r>
      <w:r>
        <w:rPr>
          <w:rFonts w:ascii="Times New Roman" w:cs="Times New Roman" w:eastAsia="Times New Roman" w:hAnsi="Times New Roman"/>
          <w:sz w:val="24"/>
          <w:szCs w:val="24"/>
        </w:rPr>
        <w:t xml:space="preserve"> en Colombia, abarcando el período 2010-2016 en Medellín. Empleando fracciones atribuibles poblacionales (FAP) derivadas del estudio de Carga Global de la Enfermedad del Instituto de Métricas y Evaluaciones en Salud (IHME), y análisis de densidad de Kernel sobre núcleos domiciliarios para áreas de 10.000 m², los autores identificaron 45.487 casos y 2.743 defunciones atribuibles al PM</w:t>
      </w:r>
      <w:r>
        <w:rPr>
          <w:rFonts w:ascii="Times New Roman" w:cs="Times New Roman" w:eastAsia="Times New Roman" w:hAnsi="Times New Roman"/>
          <w:sz w:val="20"/>
          <w:szCs w:val="20"/>
          <w:vertAlign w:val="subscript"/>
        </w:rPr>
        <w:t xml:space="preserve">2.5</w:t>
      </w:r>
      <w:r>
        <w:rPr>
          <w:rFonts w:ascii="Times New Roman" w:cs="Times New Roman" w:eastAsia="Times New Roman" w:hAnsi="Times New Roman"/>
          <w:sz w:val="24"/>
          <w:szCs w:val="24"/>
        </w:rPr>
        <w:t xml:space="preserve">. El 96% de los casos correspondió a eventos respiratorios, predominantemente infecciones agudas del tracto respiratorio inferior (n = 32.330). La distribución espacial mostró una mayor concentración de eventos en la zona suroccidental de la ciudad, donde prevalecen actividades extractivas y mineras, mientras que la zona suroriental, de mayor nivel socioeconómico, presentó la menor concentración.</w:t>
      </w:r>
    </w:p>
    <w:p>
      <w:pPr>
        <w:spacing w:after="160" w:before="160" w:line="360"/>
        <w:jc w:val="both"/>
      </w:pPr>
      <w:r>
        <w:rPr>
          <w:rFonts w:ascii="Times New Roman" w:cs="Times New Roman" w:eastAsia="Times New Roman" w:hAnsi="Times New Roman"/>
          <w:sz w:val="24"/>
          <w:szCs w:val="24"/>
        </w:rPr>
        <w:t xml:space="preserve">Este hallazgo, coherente con la literatura internacional sobre justicia ambiental, apunta a que la carga de enfermedad por contaminación del aire recae de manera desproporcionada sobre las comunidades de menores ingresos. Para el análisis a escala departamental que propone este estudio, el patrón espacial observado en Medellín ofrece una hipótesis de trabajo: es probable que los departamentos con mayor actividad industrial, minera o con mayor densidad vehicular muestren tasas de mortalidad respiratoria más elevadas, asociadas a peores indicadores de calidad del aire (</w:t>
      </w:r>
      <w:r>
        <w:rPr>
          <w:rFonts w:ascii="Times New Roman" w:cs="Times New Roman" w:eastAsia="Times New Roman" w:hAnsi="Times New Roman"/>
          <w:b/>
          <w:bCs/>
          <w:sz w:val="24"/>
          <w:szCs w:val="24"/>
        </w:rPr>
        <w:t xml:space="preserve">Piñeros-Jiménez et al., 2022</w:t>
      </w:r>
      <w:r>
        <w:rPr>
          <w:rFonts w:ascii="Times New Roman" w:cs="Times New Roman" w:eastAsia="Times New Roman" w:hAnsi="Times New Roman"/>
          <w:sz w:val="24"/>
          <w:szCs w:val="24"/>
        </w:rPr>
        <w:t xml:space="preserve">).</w:t>
      </w:r>
    </w:p>
    <w:p>
      <w:pPr>
        <w:pStyle w:val="Heading2"/>
        <w:spacing w:after="160" w:before="300"/>
      </w:pPr>
      <w:r>
        <w:rPr>
          <w:rFonts w:ascii="Times New Roman" w:cs="Times New Roman" w:eastAsia="Times New Roman" w:hAnsi="Times New Roman"/>
          <w:b/>
          <w:bCs/>
          <w:color w:val="2E5496"/>
          <w:sz w:val="26"/>
          <w:szCs w:val="26"/>
        </w:rPr>
        <w:t xml:space="preserve">3.5 Relación entre condición atmosférica y mortalidad en Bogotá</w:t>
      </w:r>
    </w:p>
    <w:p>
      <w:pPr>
        <w:spacing w:after="160" w:before="160" w:line="360"/>
        <w:jc w:val="both"/>
      </w:pPr>
      <w:r>
        <w:rPr>
          <w:rFonts w:ascii="Times New Roman" w:cs="Times New Roman" w:eastAsia="Times New Roman" w:hAnsi="Times New Roman"/>
          <w:sz w:val="24"/>
          <w:szCs w:val="24"/>
        </w:rPr>
        <w:t xml:space="preserve">El estudio de </w:t>
      </w:r>
      <w:r>
        <w:rPr>
          <w:rFonts w:ascii="Times New Roman" w:cs="Times New Roman" w:eastAsia="Times New Roman" w:hAnsi="Times New Roman"/>
          <w:b/>
          <w:bCs/>
          <w:sz w:val="24"/>
          <w:szCs w:val="24"/>
        </w:rPr>
        <w:t xml:space="preserve">Zafra-Mejía et al. (2020)</w:t>
      </w:r>
      <w:r>
        <w:rPr>
          <w:rFonts w:ascii="Times New Roman" w:cs="Times New Roman" w:eastAsia="Times New Roman" w:hAnsi="Times New Roman"/>
          <w:sz w:val="24"/>
          <w:szCs w:val="24"/>
        </w:rPr>
        <w:t xml:space="preserve"> en Bogotá aporta evidencia sobre la dimensión meteorológica de la relación entre PM</w:t>
      </w:r>
      <w:r>
        <w:rPr>
          <w:rFonts w:ascii="Times New Roman" w:cs="Times New Roman" w:eastAsia="Times New Roman" w:hAnsi="Times New Roman"/>
          <w:sz w:val="20"/>
          <w:szCs w:val="20"/>
          <w:vertAlign w:val="subscript"/>
        </w:rPr>
        <w:t xml:space="preserve">10</w:t>
      </w:r>
      <w:r>
        <w:rPr>
          <w:rFonts w:ascii="Times New Roman" w:cs="Times New Roman" w:eastAsia="Times New Roman" w:hAnsi="Times New Roman"/>
          <w:sz w:val="24"/>
          <w:szCs w:val="24"/>
        </w:rPr>
        <w:t xml:space="preserve"> y mortalidad humana. Analizando seis años de datos (2007-2012) de tres estaciones automáticas de monitoreo, los autores determinaron la condición atmosférica prevalente mediante los métodos de Pasquill-Turner-Gifford e identificaron que los meses de mayor riesgo para la salud pública fueron febrero, marzo y enero, que mostraron concentraciones de PM</w:t>
      </w:r>
      <w:r>
        <w:rPr>
          <w:rFonts w:ascii="Times New Roman" w:cs="Times New Roman" w:eastAsia="Times New Roman" w:hAnsi="Times New Roman"/>
          <w:sz w:val="20"/>
          <w:szCs w:val="20"/>
          <w:vertAlign w:val="subscript"/>
        </w:rPr>
        <w:t xml:space="preserve">10</w:t>
      </w:r>
      <w:r>
        <w:rPr>
          <w:rFonts w:ascii="Times New Roman" w:cs="Times New Roman" w:eastAsia="Times New Roman" w:hAnsi="Times New Roman"/>
          <w:sz w:val="24"/>
          <w:szCs w:val="24"/>
        </w:rPr>
        <w:t xml:space="preserve"> un 35.9% más elevadas que los meses de menor riesgo (agosto, junio y julio). Aplicando la guía de la OMS —que estima un incremento del 0.50% en la tasa de mortalidad diaria por cada aumento de 10 μg/m³ en PM</w:t>
      </w:r>
      <w:r>
        <w:rPr>
          <w:rFonts w:ascii="Times New Roman" w:cs="Times New Roman" w:eastAsia="Times New Roman" w:hAnsi="Times New Roman"/>
          <w:sz w:val="20"/>
          <w:szCs w:val="20"/>
          <w:vertAlign w:val="subscript"/>
        </w:rPr>
        <w:t xml:space="preserve">10</w:t>
      </w:r>
      <w:r>
        <w:rPr>
          <w:rFonts w:ascii="Times New Roman" w:cs="Times New Roman" w:eastAsia="Times New Roman" w:hAnsi="Times New Roman"/>
          <w:sz w:val="24"/>
          <w:szCs w:val="24"/>
        </w:rPr>
        <w:t xml:space="preserve">—, calcularon que en el sector de mayor contaminación de Bogotá la tasa de mortalidad diaria asociada a PM</w:t>
      </w:r>
      <w:r>
        <w:rPr>
          <w:rFonts w:ascii="Times New Roman" w:cs="Times New Roman" w:eastAsia="Times New Roman" w:hAnsi="Times New Roman"/>
          <w:sz w:val="20"/>
          <w:szCs w:val="20"/>
          <w:vertAlign w:val="subscript"/>
        </w:rPr>
        <w:t xml:space="preserve">10</w:t>
      </w:r>
      <w:r>
        <w:rPr>
          <w:rFonts w:ascii="Times New Roman" w:cs="Times New Roman" w:eastAsia="Times New Roman" w:hAnsi="Times New Roman"/>
          <w:sz w:val="24"/>
          <w:szCs w:val="24"/>
        </w:rPr>
        <w:t xml:space="preserve"> fue en promedio un 2.0% superior a la tasa de referencia.</w:t>
      </w:r>
    </w:p>
    <w:p>
      <w:pPr>
        <w:spacing w:after="160" w:before="160" w:line="360"/>
        <w:jc w:val="both"/>
      </w:pPr>
      <w:r>
        <w:rPr>
          <w:rFonts w:ascii="Times New Roman" w:cs="Times New Roman" w:eastAsia="Times New Roman" w:hAnsi="Times New Roman"/>
          <w:sz w:val="24"/>
          <w:szCs w:val="24"/>
        </w:rPr>
        <w:t xml:space="preserve">Adicionalmente, el estudio reveló que los sectores urbanos con menor inestabilidad atmosférica —asociados a mayor cobertura impermeable sin vegetación— presentaron concentraciones de PM</w:t>
      </w:r>
      <w:r>
        <w:rPr>
          <w:rFonts w:ascii="Times New Roman" w:cs="Times New Roman" w:eastAsia="Times New Roman" w:hAnsi="Times New Roman"/>
          <w:sz w:val="20"/>
          <w:szCs w:val="20"/>
          <w:vertAlign w:val="subscript"/>
        </w:rPr>
        <w:t xml:space="preserve">10</w:t>
      </w:r>
      <w:r>
        <w:rPr>
          <w:rFonts w:ascii="Times New Roman" w:cs="Times New Roman" w:eastAsia="Times New Roman" w:hAnsi="Times New Roman"/>
          <w:sz w:val="24"/>
          <w:szCs w:val="24"/>
        </w:rPr>
        <w:t xml:space="preserve"> entre 131% y 144% más altas que los sectores con mayor inestabilidad y cobertura vegetal. Esta relación inversa entre inestabilidad atmosférica y concentración de contaminantes es relevante para el análisis departamental, en tanto que las diferencias topográficas y de uso del suelo entre departamentos colombianos pueden condicionar significativamente la acumulación de partículas y, en consecuencia, el riesgo de mortalidad respiratoria (</w:t>
      </w:r>
      <w:r>
        <w:rPr>
          <w:rFonts w:ascii="Times New Roman" w:cs="Times New Roman" w:eastAsia="Times New Roman" w:hAnsi="Times New Roman"/>
          <w:b/>
          <w:bCs/>
          <w:sz w:val="24"/>
          <w:szCs w:val="24"/>
        </w:rPr>
        <w:t xml:space="preserve">Zafra-Mejía et al., 2020</w:t>
      </w:r>
      <w:r>
        <w:rPr>
          <w:rFonts w:ascii="Times New Roman" w:cs="Times New Roman" w:eastAsia="Times New Roman" w:hAnsi="Times New Roman"/>
          <w:sz w:val="24"/>
          <w:szCs w:val="24"/>
        </w:rPr>
        <w:t xml:space="preserve">).</w:t>
      </w:r>
    </w:p>
    <w:p>
      <w:pPr>
        <w:pStyle w:val="Heading1"/>
        <w:spacing w:after="200" w:before="400"/>
      </w:pPr>
      <w:r>
        <w:rPr>
          <w:rFonts w:ascii="Times New Roman" w:cs="Times New Roman" w:eastAsia="Times New Roman" w:hAnsi="Times New Roman"/>
          <w:b/>
          <w:bCs/>
          <w:color w:val="1F3864"/>
          <w:sz w:val="28"/>
          <w:szCs w:val="28"/>
        </w:rPr>
        <w:t xml:space="preserve">4. Fuentes de Datos e Infraestructura del Estudio</w:t>
      </w:r>
    </w:p>
    <w:p>
      <w:pPr>
        <w:pStyle w:val="Heading2"/>
        <w:spacing w:after="160" w:before="300"/>
      </w:pPr>
      <w:r>
        <w:rPr>
          <w:rFonts w:ascii="Times New Roman" w:cs="Times New Roman" w:eastAsia="Times New Roman" w:hAnsi="Times New Roman"/>
          <w:b/>
          <w:bCs/>
          <w:color w:val="2E5496"/>
          <w:sz w:val="26"/>
          <w:szCs w:val="26"/>
        </w:rPr>
        <w:t xml:space="preserve">4.1 Datos de mortalidad: microdatos DANE 2024</w:t>
      </w:r>
    </w:p>
    <w:p>
      <w:pPr>
        <w:spacing w:after="160" w:before="160" w:line="360"/>
        <w:jc w:val="both"/>
      </w:pPr>
      <w:r>
        <w:rPr>
          <w:rFonts w:ascii="Times New Roman" w:cs="Times New Roman" w:eastAsia="Times New Roman" w:hAnsi="Times New Roman"/>
          <w:sz w:val="24"/>
          <w:szCs w:val="24"/>
        </w:rPr>
        <w:t xml:space="preserve">La fuente de datos de mortalidad del presente estudio son los microdatos de defunciones no fetales de 2024, obtenidos del repositorio oficial del Departamento Administrativo Nacional de Estadística (DANE). Este conjunto de datos contiene 275.778 registros individuales distribuidos en 61 variables que cubren características de la persona fallecida, del evento de defunción y de su causa básica según la CIE-10. Los Registros Individuales de Prestación de Servicios de Salud (RIPS) y las estadísticas vitales del DANE son las fuentes de información más utilizadas en los estudios epidemiológicos colombianos sobre mortalidad. </w:t>
      </w:r>
      <w:r>
        <w:rPr>
          <w:rFonts w:ascii="Times New Roman" w:cs="Times New Roman" w:eastAsia="Times New Roman" w:hAnsi="Times New Roman"/>
          <w:b/>
          <w:bCs/>
          <w:sz w:val="24"/>
          <w:szCs w:val="24"/>
        </w:rPr>
        <w:t xml:space="preserve">Rodríguez-Villamizar et al. (2018)</w:t>
      </w:r>
      <w:r>
        <w:rPr>
          <w:rFonts w:ascii="Times New Roman" w:cs="Times New Roman" w:eastAsia="Times New Roman" w:hAnsi="Times New Roman"/>
          <w:sz w:val="24"/>
          <w:szCs w:val="24"/>
        </w:rPr>
        <w:t xml:space="preserve"> y </w:t>
      </w:r>
      <w:r>
        <w:rPr>
          <w:rFonts w:ascii="Times New Roman" w:cs="Times New Roman" w:eastAsia="Times New Roman" w:hAnsi="Times New Roman"/>
          <w:b/>
          <w:bCs/>
          <w:sz w:val="24"/>
          <w:szCs w:val="24"/>
        </w:rPr>
        <w:t xml:space="preserve">Piñeros-Jiménez et al. (2022)</w:t>
      </w:r>
      <w:r>
        <w:rPr>
          <w:rFonts w:ascii="Times New Roman" w:cs="Times New Roman" w:eastAsia="Times New Roman" w:hAnsi="Times New Roman"/>
          <w:sz w:val="24"/>
          <w:szCs w:val="24"/>
        </w:rPr>
        <w:t xml:space="preserve"> los emplearon para identificar defunciones por causas respiratorias y circulatorias, reportando una precisión diagnóstica del 83.4% en los datos de visitas a urgencias y defunciones del SISPRO.</w:t>
      </w:r>
    </w:p>
    <w:p>
      <w:pPr>
        <w:spacing w:after="160" w:before="160" w:line="360"/>
        <w:jc w:val="both"/>
      </w:pPr>
      <w:r>
        <w:rPr>
          <w:rFonts w:ascii="Times New Roman" w:cs="Times New Roman" w:eastAsia="Times New Roman" w:hAnsi="Times New Roman"/>
          <w:sz w:val="24"/>
          <w:szCs w:val="24"/>
        </w:rPr>
        <w:t xml:space="preserve">Para garantizar la validez interna del análisis, el procesamiento de los datos DANE incluyó: la exclusión de muertes de causa externa (P_PMAN_IRIS ≠ 0), la eliminación de variables con alto porcentaje de valores nulos o redundantes, y la construcción de identificadores únicos por registro. La variable clave para el análisis fue el código de causa básica de muerte (C_BAS1) según la CIE-10, a partir del cual se identificaron y contabilizaron las defunciones por enfermedades respiratorias en cada departamento, utilizando los códigos DIVIPOLA del DANE como referencia geográfica. Este enfoque metodológico es coherente con el empleado por </w:t>
      </w:r>
      <w:r>
        <w:rPr>
          <w:rFonts w:ascii="Times New Roman" w:cs="Times New Roman" w:eastAsia="Times New Roman" w:hAnsi="Times New Roman"/>
          <w:b/>
          <w:bCs/>
          <w:sz w:val="24"/>
          <w:szCs w:val="24"/>
        </w:rPr>
        <w:t xml:space="preserve">Piñeros-Jiménez et al. (2022)</w:t>
      </w:r>
      <w:r>
        <w:rPr>
          <w:rFonts w:ascii="Times New Roman" w:cs="Times New Roman" w:eastAsia="Times New Roman" w:hAnsi="Times New Roman"/>
          <w:sz w:val="24"/>
          <w:szCs w:val="24"/>
        </w:rPr>
        <w:t xml:space="preserve"> en Medellín.</w:t>
      </w:r>
    </w:p>
    <w:p>
      <w:pPr>
        <w:pStyle w:val="Heading2"/>
        <w:spacing w:after="160" w:before="300"/>
      </w:pPr>
      <w:r>
        <w:rPr>
          <w:rFonts w:ascii="Times New Roman" w:cs="Times New Roman" w:eastAsia="Times New Roman" w:hAnsi="Times New Roman"/>
          <w:b/>
          <w:bCs/>
          <w:color w:val="2E5496"/>
          <w:sz w:val="26"/>
          <w:szCs w:val="26"/>
        </w:rPr>
        <w:t xml:space="preserve">4.2 Integración de datos y modelo relacional</w:t>
      </w:r>
    </w:p>
    <w:p>
      <w:pPr>
        <w:spacing w:after="160" w:before="160" w:line="360"/>
        <w:jc w:val="both"/>
      </w:pPr>
      <w:r>
        <w:rPr>
          <w:rFonts w:ascii="Times New Roman" w:cs="Times New Roman" w:eastAsia="Times New Roman" w:hAnsi="Times New Roman"/>
          <w:sz w:val="24"/>
          <w:szCs w:val="24"/>
        </w:rPr>
        <w:t xml:space="preserve">El diseño de la base de datos del proyecto adoptó un modelo relacional normalizado, estructurado en once tablas especializadas: persona, tiempo, defunción, causa de defunción, departamento, país, estaciones de monitoreo, medición de calidad del aire, índice de calidad del aire (ICA), diagnóstico CIE-10 y defunción-diagnóstico. Esta arquitectura garantiza la integridad referencial de los datos y facilita la ejecución de consultas SQL complejas para el cálculo de indicadores por departamento. El modelo está alineado con las prácticas recomendadas para estudios de salud ambiental con datos provenientes de múltiples fuentes, tal como lo ilustran los trabajos de </w:t>
      </w:r>
      <w:r>
        <w:rPr>
          <w:rFonts w:ascii="Times New Roman" w:cs="Times New Roman" w:eastAsia="Times New Roman" w:hAnsi="Times New Roman"/>
          <w:b/>
          <w:bCs/>
          <w:sz w:val="24"/>
          <w:szCs w:val="24"/>
        </w:rPr>
        <w:t xml:space="preserve">Piñeros-Jiménez et al. (2022)</w:t>
      </w:r>
      <w:r>
        <w:rPr>
          <w:rFonts w:ascii="Times New Roman" w:cs="Times New Roman" w:eastAsia="Times New Roman" w:hAnsi="Times New Roman"/>
          <w:sz w:val="24"/>
          <w:szCs w:val="24"/>
        </w:rPr>
        <w:t xml:space="preserve"> —que integraron registros de morbilidad, defunciones, catastro municipal y datos de calidad del aire— y </w:t>
      </w:r>
      <w:r>
        <w:rPr>
          <w:rFonts w:ascii="Times New Roman" w:cs="Times New Roman" w:eastAsia="Times New Roman" w:hAnsi="Times New Roman"/>
          <w:b/>
          <w:bCs/>
          <w:sz w:val="24"/>
          <w:szCs w:val="24"/>
        </w:rPr>
        <w:t xml:space="preserve">Rodríguez-Villamizar et al. (2018)</w:t>
      </w:r>
      <w:r>
        <w:rPr>
          <w:rFonts w:ascii="Times New Roman" w:cs="Times New Roman" w:eastAsia="Times New Roman" w:hAnsi="Times New Roman"/>
          <w:sz w:val="24"/>
          <w:szCs w:val="24"/>
        </w:rPr>
        <w:t xml:space="preserve"> —que cruzaron datos de los SVCA con los registros RIPS del SISPRO.</w:t>
      </w:r>
    </w:p>
    <w:p>
      <w:pPr>
        <w:pStyle w:val="Heading1"/>
        <w:spacing w:after="200" w:before="400"/>
      </w:pPr>
      <w:r>
        <w:rPr>
          <w:rFonts w:ascii="Times New Roman" w:cs="Times New Roman" w:eastAsia="Times New Roman" w:hAnsi="Times New Roman"/>
          <w:b/>
          <w:bCs/>
          <w:color w:val="1F3864"/>
          <w:sz w:val="28"/>
          <w:szCs w:val="28"/>
        </w:rPr>
        <w:t xml:space="preserve">5. Fundamentos Metodológicos del Análisis de Correlación</w:t>
      </w:r>
    </w:p>
    <w:p>
      <w:pPr>
        <w:pStyle w:val="Heading2"/>
        <w:spacing w:after="160" w:before="300"/>
      </w:pPr>
      <w:r>
        <w:rPr>
          <w:rFonts w:ascii="Times New Roman" w:cs="Times New Roman" w:eastAsia="Times New Roman" w:hAnsi="Times New Roman"/>
          <w:b/>
          <w:bCs/>
          <w:color w:val="2E5496"/>
          <w:sz w:val="26"/>
          <w:szCs w:val="26"/>
        </w:rPr>
        <w:t xml:space="preserve">5.1 Diseño ecológico y unidad de análisis departamental</w:t>
      </w:r>
    </w:p>
    <w:p>
      <w:pPr>
        <w:spacing w:after="160" w:before="160" w:line="360"/>
        <w:jc w:val="both"/>
      </w:pPr>
      <w:r>
        <w:rPr>
          <w:rFonts w:ascii="Times New Roman" w:cs="Times New Roman" w:eastAsia="Times New Roman" w:hAnsi="Times New Roman"/>
          <w:sz w:val="24"/>
          <w:szCs w:val="24"/>
        </w:rPr>
        <w:t xml:space="preserve">El análisis de correlación entre calidad del aire y mortalidad respiratoria en Colombia adopta el diseño ecológico, en el cual la unidad de análisis no es el individuo sino el departamento como unidad geográfica agregada. Este diseño es apropiado cuando la variable de exposición —las concentraciones de contaminantes por departamento— no está disponible a nivel individual, lo que es precisamente el caso del presente estudio. </w:t>
      </w:r>
      <w:r>
        <w:rPr>
          <w:rFonts w:ascii="Times New Roman" w:cs="Times New Roman" w:eastAsia="Times New Roman" w:hAnsi="Times New Roman"/>
          <w:b/>
          <w:bCs/>
          <w:sz w:val="24"/>
          <w:szCs w:val="24"/>
        </w:rPr>
        <w:t xml:space="preserve">Piñeros-Jiménez et al. (2022)</w:t>
      </w:r>
      <w:r>
        <w:rPr>
          <w:rFonts w:ascii="Times New Roman" w:cs="Times New Roman" w:eastAsia="Times New Roman" w:hAnsi="Times New Roman"/>
          <w:sz w:val="24"/>
          <w:szCs w:val="24"/>
        </w:rPr>
        <w:t xml:space="preserve"> emplearon un diseño ecológico para establecer la distribución espacial de la morbimortalidad atribuible al PM</w:t>
      </w:r>
      <w:r>
        <w:rPr>
          <w:rFonts w:ascii="Times New Roman" w:cs="Times New Roman" w:eastAsia="Times New Roman" w:hAnsi="Times New Roman"/>
          <w:sz w:val="20"/>
          <w:szCs w:val="20"/>
          <w:vertAlign w:val="subscript"/>
        </w:rPr>
        <w:t xml:space="preserve">2.5</w:t>
      </w:r>
      <w:r>
        <w:rPr>
          <w:rFonts w:ascii="Times New Roman" w:cs="Times New Roman" w:eastAsia="Times New Roman" w:hAnsi="Times New Roman"/>
          <w:sz w:val="24"/>
          <w:szCs w:val="24"/>
        </w:rPr>
        <w:t xml:space="preserve"> en Medellín, y </w:t>
      </w:r>
      <w:r>
        <w:rPr>
          <w:rFonts w:ascii="Times New Roman" w:cs="Times New Roman" w:eastAsia="Times New Roman" w:hAnsi="Times New Roman"/>
          <w:b/>
          <w:bCs/>
          <w:sz w:val="24"/>
          <w:szCs w:val="24"/>
        </w:rPr>
        <w:t xml:space="preserve">Rodríguez-Villamizar et al. (2018)</w:t>
      </w:r>
      <w:r>
        <w:rPr>
          <w:rFonts w:ascii="Times New Roman" w:cs="Times New Roman" w:eastAsia="Times New Roman" w:hAnsi="Times New Roman"/>
          <w:sz w:val="24"/>
          <w:szCs w:val="24"/>
        </w:rPr>
        <w:t xml:space="preserve"> utilizaron la ciudad como unidad de observación en su análisis multicéntrico de Colombia. Una limitación inherente a los estudios ecológicos es la posibilidad de la falacia ecológica, por la cual las asociaciones observadas a nivel agregado no necesariamente se corresponden con las relaciones individuales subyacentes.</w:t>
      </w:r>
    </w:p>
    <w:p>
      <w:pPr>
        <w:pStyle w:val="Heading2"/>
        <w:spacing w:after="160" w:before="300"/>
      </w:pPr>
      <w:r>
        <w:rPr>
          <w:rFonts w:ascii="Times New Roman" w:cs="Times New Roman" w:eastAsia="Times New Roman" w:hAnsi="Times New Roman"/>
          <w:b/>
          <w:bCs/>
          <w:color w:val="2E5496"/>
          <w:sz w:val="26"/>
          <w:szCs w:val="26"/>
        </w:rPr>
        <w:t xml:space="preserve">5.2 Análisis de correlación: Pearson y Spearman</w:t>
      </w:r>
    </w:p>
    <w:p>
      <w:pPr>
        <w:spacing w:after="160" w:before="160" w:line="360"/>
        <w:jc w:val="both"/>
      </w:pPr>
      <w:r>
        <w:rPr>
          <w:rFonts w:ascii="Times New Roman" w:cs="Times New Roman" w:eastAsia="Times New Roman" w:hAnsi="Times New Roman"/>
          <w:sz w:val="24"/>
          <w:szCs w:val="24"/>
        </w:rPr>
        <w:t xml:space="preserve">La evaluación de la relación entre la calidad del aire y la tasa de mortalidad respiratoria se realiza mediante pruebas de correlación estadística. Cuando los datos cumplen los supuestos de normalidad y linealidad, el coeficiente de correlación de Pearson (r) es la medida apropiada; en caso contrario, o cuando las variables son de tipo ordinal, se emplea el coeficiente de Spearman (ρ), que mide la asociación monótona sin asumir una distribución específica. </w:t>
      </w:r>
      <w:r>
        <w:rPr>
          <w:rFonts w:ascii="Times New Roman" w:cs="Times New Roman" w:eastAsia="Times New Roman" w:hAnsi="Times New Roman"/>
          <w:b/>
          <w:bCs/>
          <w:sz w:val="24"/>
          <w:szCs w:val="24"/>
        </w:rPr>
        <w:t xml:space="preserve">Gaviria et al. (2011)</w:t>
      </w:r>
      <w:r>
        <w:rPr>
          <w:rFonts w:ascii="Times New Roman" w:cs="Times New Roman" w:eastAsia="Times New Roman" w:hAnsi="Times New Roman"/>
          <w:sz w:val="24"/>
          <w:szCs w:val="24"/>
        </w:rPr>
        <w:t xml:space="preserve"> utilizaron la correlación de Spearman para seleccionar las variables de los modelos econométricos de Medellín, determinando la independencia entre regresores y garantizando que cada modelo incluyera solo una variable de contaminación y una climática. </w:t>
      </w:r>
      <w:r>
        <w:rPr>
          <w:rFonts w:ascii="Times New Roman" w:cs="Times New Roman" w:eastAsia="Times New Roman" w:hAnsi="Times New Roman"/>
          <w:b/>
          <w:bCs/>
          <w:sz w:val="24"/>
          <w:szCs w:val="24"/>
        </w:rPr>
        <w:t xml:space="preserve">Saffon et al. (2022)</w:t>
      </w:r>
      <w:r>
        <w:rPr>
          <w:rFonts w:ascii="Times New Roman" w:cs="Times New Roman" w:eastAsia="Times New Roman" w:hAnsi="Times New Roman"/>
          <w:sz w:val="24"/>
          <w:szCs w:val="24"/>
        </w:rPr>
        <w:t xml:space="preserve"> emplearon la regresión lineal simple y evaluaron la significancia de la relación mediante el valor P y el R², criterios que también orientan la interpretación de los resultados de correlación en el presente estudio.</w:t>
      </w:r>
    </w:p>
    <w:p>
      <w:pPr>
        <w:spacing w:after="160" w:before="160" w:line="360"/>
        <w:jc w:val="both"/>
      </w:pPr>
      <w:r>
        <w:rPr>
          <w:rFonts w:ascii="Times New Roman" w:cs="Times New Roman" w:eastAsia="Times New Roman" w:hAnsi="Times New Roman"/>
          <w:sz w:val="24"/>
          <w:szCs w:val="24"/>
        </w:rPr>
        <w:t xml:space="preserve">Los valores del coeficiente de correlación se interpretan en términos de magnitud y dirección: valores cercanos a +1 o –1 indican una relación lineal fuerte positiva o negativa, respectivamente, mientras que valores cercanos a 0 sugieren ausencia de relación lineal. Para establecer la significancia estadística, se utiliza un nivel de confianza del 95% (α = 0.05). Un valor P inferior a 0.05 permite rechazar la hipótesis nula de ausencia de correlación entre la calidad del aire y la tasa de mortalidad respiratoria departamental (</w:t>
      </w:r>
      <w:r>
        <w:rPr>
          <w:rFonts w:ascii="Times New Roman" w:cs="Times New Roman" w:eastAsia="Times New Roman" w:hAnsi="Times New Roman"/>
          <w:b/>
          <w:bCs/>
          <w:sz w:val="24"/>
          <w:szCs w:val="24"/>
        </w:rPr>
        <w:t xml:space="preserve">Saffon et al., 2022; Gaviria et al., 2011</w:t>
      </w:r>
      <w:r>
        <w:rPr>
          <w:rFonts w:ascii="Times New Roman" w:cs="Times New Roman" w:eastAsia="Times New Roman" w:hAnsi="Times New Roman"/>
          <w:sz w:val="24"/>
          <w:szCs w:val="24"/>
        </w:rPr>
        <w:t xml:space="preserve">).</w:t>
      </w:r>
    </w:p>
    <w:p>
      <w:pPr>
        <w:pStyle w:val="Heading2"/>
        <w:spacing w:after="160" w:before="300"/>
      </w:pPr>
      <w:r>
        <w:rPr>
          <w:rFonts w:ascii="Times New Roman" w:cs="Times New Roman" w:eastAsia="Times New Roman" w:hAnsi="Times New Roman"/>
          <w:b/>
          <w:bCs/>
          <w:color w:val="2E5496"/>
          <w:sz w:val="26"/>
          <w:szCs w:val="26"/>
        </w:rPr>
        <w:t xml:space="preserve">5.3 Análisis exploratorio de datos (EDA) con Pandas</w:t>
      </w:r>
    </w:p>
    <w:p>
      <w:pPr>
        <w:spacing w:after="160" w:before="160" w:line="360"/>
        <w:jc w:val="both"/>
      </w:pPr>
      <w:r>
        <w:rPr>
          <w:rFonts w:ascii="Times New Roman" w:cs="Times New Roman" w:eastAsia="Times New Roman" w:hAnsi="Times New Roman"/>
          <w:sz w:val="24"/>
          <w:szCs w:val="24"/>
        </w:rPr>
        <w:t xml:space="preserve">El Análisis Exploratorio de Datos (EDA) constituye una etapa fundamental del proceso analítico, en la cual se caracteriza la distribución de las variables de interés, se identifican valores atípicos, se verifican los supuestos estadísticos y se generan hipótesis preliminares sobre las relaciones entre variables. En el contexto del presente estudio, el EDA permite establecer la variabilidad en las tasas de mortalidad respiratoria entre departamentos y en las concentraciones de contaminantes, examinar la distribución temporal de ambas variables durante 2024 e identificar los departamentos con mayor y menor carga de mortalidad y peor y mejor calidad del aire.</w:t>
      </w:r>
    </w:p>
    <w:p>
      <w:pPr>
        <w:spacing w:after="160" w:before="160" w:line="360"/>
        <w:jc w:val="both"/>
      </w:pPr>
      <w:r>
        <w:rPr>
          <w:rFonts w:ascii="Times New Roman" w:cs="Times New Roman" w:eastAsia="Times New Roman" w:hAnsi="Times New Roman"/>
          <w:sz w:val="24"/>
          <w:szCs w:val="24"/>
        </w:rPr>
        <w:t xml:space="preserve">El EDA también incluye la detección de patrones estacionales en la calidad del aire. </w:t>
      </w:r>
      <w:r>
        <w:rPr>
          <w:rFonts w:ascii="Times New Roman" w:cs="Times New Roman" w:eastAsia="Times New Roman" w:hAnsi="Times New Roman"/>
          <w:b/>
          <w:bCs/>
          <w:sz w:val="24"/>
          <w:szCs w:val="24"/>
        </w:rPr>
        <w:t xml:space="preserve">Zafra-Mejía et al. (2020)</w:t>
      </w:r>
      <w:r>
        <w:rPr>
          <w:rFonts w:ascii="Times New Roman" w:cs="Times New Roman" w:eastAsia="Times New Roman" w:hAnsi="Times New Roman"/>
          <w:sz w:val="24"/>
          <w:szCs w:val="24"/>
        </w:rPr>
        <w:t xml:space="preserve"> evidenciaron que los meses de enero a marzo representan los de mayor riesgo por PM</w:t>
      </w:r>
      <w:r>
        <w:rPr>
          <w:rFonts w:ascii="Times New Roman" w:cs="Times New Roman" w:eastAsia="Times New Roman" w:hAnsi="Times New Roman"/>
          <w:sz w:val="20"/>
          <w:szCs w:val="20"/>
          <w:vertAlign w:val="subscript"/>
        </w:rPr>
        <w:t xml:space="preserve">10</w:t>
      </w:r>
      <w:r>
        <w:rPr>
          <w:rFonts w:ascii="Times New Roman" w:cs="Times New Roman" w:eastAsia="Times New Roman" w:hAnsi="Times New Roman"/>
          <w:sz w:val="24"/>
          <w:szCs w:val="24"/>
        </w:rPr>
        <w:t xml:space="preserve"> en Bogotá, con concentraciones 35.9% superiores a los meses de menor riesgo. </w:t>
      </w:r>
      <w:r>
        <w:rPr>
          <w:rFonts w:ascii="Times New Roman" w:cs="Times New Roman" w:eastAsia="Times New Roman" w:hAnsi="Times New Roman"/>
          <w:b/>
          <w:bCs/>
          <w:sz w:val="24"/>
          <w:szCs w:val="24"/>
        </w:rPr>
        <w:t xml:space="preserve">Gaviria et al. (2011)</w:t>
      </w:r>
      <w:r>
        <w:rPr>
          <w:rFonts w:ascii="Times New Roman" w:cs="Times New Roman" w:eastAsia="Times New Roman" w:hAnsi="Times New Roman"/>
          <w:sz w:val="24"/>
          <w:szCs w:val="24"/>
        </w:rPr>
        <w:t xml:space="preserve"> observaron que el mayor número de consultas por bronquitis e infecciones en Medellín se presentó en los meses de abril a julio de 2008, coincidiendo con períodos de mayor contaminación. Estos antecedentes orientan la búsqueda de patrones similares en el análisis departamental para 2024.</w:t>
      </w:r>
    </w:p>
    <w:p>
      <w:pPr>
        <w:pStyle w:val="Heading2"/>
        <w:spacing w:after="160" w:before="300"/>
      </w:pPr>
      <w:r>
        <w:rPr>
          <w:rFonts w:ascii="Times New Roman" w:cs="Times New Roman" w:eastAsia="Times New Roman" w:hAnsi="Times New Roman"/>
          <w:b/>
          <w:bCs/>
          <w:color w:val="2E5496"/>
          <w:sz w:val="26"/>
          <w:szCs w:val="26"/>
        </w:rPr>
        <w:t xml:space="preserve">5.4 Variables de confusión y control estadístico</w:t>
      </w:r>
    </w:p>
    <w:p>
      <w:pPr>
        <w:spacing w:after="160" w:before="160" w:line="360"/>
        <w:jc w:val="both"/>
      </w:pPr>
      <w:r>
        <w:rPr>
          <w:rFonts w:ascii="Times New Roman" w:cs="Times New Roman" w:eastAsia="Times New Roman" w:hAnsi="Times New Roman"/>
          <w:sz w:val="24"/>
          <w:szCs w:val="24"/>
        </w:rPr>
        <w:t xml:space="preserve">Un aspecto central en el análisis de correlación es el control de variables de confusión que podrían introducir sesgos en la estimación de la relación entre calidad del aire y mortalidad respiratoria. Las principales variables que deben ser consideradas incluyen factores climáticos —temperatura, humedad relativa, precipitación— y factores sociodemográficos —densidad poblacional, estructura por edades, cobertura del sistema de salud, nivel socioeconómico. </w:t>
      </w:r>
      <w:r>
        <w:rPr>
          <w:rFonts w:ascii="Times New Roman" w:cs="Times New Roman" w:eastAsia="Times New Roman" w:hAnsi="Times New Roman"/>
          <w:b/>
          <w:bCs/>
          <w:sz w:val="24"/>
          <w:szCs w:val="24"/>
        </w:rPr>
        <w:t xml:space="preserve">Rodríguez-Villamizar et al. (2018)</w:t>
      </w:r>
      <w:r>
        <w:rPr>
          <w:rFonts w:ascii="Times New Roman" w:cs="Times New Roman" w:eastAsia="Times New Roman" w:hAnsi="Times New Roman"/>
          <w:sz w:val="24"/>
          <w:szCs w:val="24"/>
        </w:rPr>
        <w:t xml:space="preserve"> ajustaron sus modelos por temperatura, humedad relativa, precipitación y sus interacciones con los contaminantes, mientras que </w:t>
      </w:r>
      <w:r>
        <w:rPr>
          <w:rFonts w:ascii="Times New Roman" w:cs="Times New Roman" w:eastAsia="Times New Roman" w:hAnsi="Times New Roman"/>
          <w:b/>
          <w:bCs/>
          <w:sz w:val="24"/>
          <w:szCs w:val="24"/>
        </w:rPr>
        <w:t xml:space="preserve">Gaviria et al. (2011)</w:t>
      </w:r>
      <w:r>
        <w:rPr>
          <w:rFonts w:ascii="Times New Roman" w:cs="Times New Roman" w:eastAsia="Times New Roman" w:hAnsi="Times New Roman"/>
          <w:sz w:val="24"/>
          <w:szCs w:val="24"/>
        </w:rPr>
        <w:t xml:space="preserve"> incorporaron la precipitación con un rezago de 7 días como variable climática de control, seleccionada mediante correlación de Spearman.</w:t>
      </w:r>
    </w:p>
    <w:p>
      <w:pPr>
        <w:spacing w:after="160" w:before="160" w:line="360"/>
        <w:jc w:val="both"/>
      </w:pPr>
      <w:r>
        <w:rPr>
          <w:rFonts w:ascii="Times New Roman" w:cs="Times New Roman" w:eastAsia="Times New Roman" w:hAnsi="Times New Roman"/>
          <w:sz w:val="24"/>
          <w:szCs w:val="24"/>
        </w:rPr>
        <w:t xml:space="preserve">La dimensión socioeconómica es particularmente relevante, dado que </w:t>
      </w:r>
      <w:r>
        <w:rPr>
          <w:rFonts w:ascii="Times New Roman" w:cs="Times New Roman" w:eastAsia="Times New Roman" w:hAnsi="Times New Roman"/>
          <w:b/>
          <w:bCs/>
          <w:sz w:val="24"/>
          <w:szCs w:val="24"/>
        </w:rPr>
        <w:t xml:space="preserve">Piñeros-Jiménez et al. (2022)</w:t>
      </w:r>
      <w:r>
        <w:rPr>
          <w:rFonts w:ascii="Times New Roman" w:cs="Times New Roman" w:eastAsia="Times New Roman" w:hAnsi="Times New Roman"/>
          <w:sz w:val="24"/>
          <w:szCs w:val="24"/>
        </w:rPr>
        <w:t xml:space="preserve"> y </w:t>
      </w:r>
      <w:r>
        <w:rPr>
          <w:rFonts w:ascii="Times New Roman" w:cs="Times New Roman" w:eastAsia="Times New Roman" w:hAnsi="Times New Roman"/>
          <w:b/>
          <w:bCs/>
          <w:sz w:val="24"/>
          <w:szCs w:val="24"/>
        </w:rPr>
        <w:t xml:space="preserve">Gaviria et al. (2011)</w:t>
      </w:r>
      <w:r>
        <w:rPr>
          <w:rFonts w:ascii="Times New Roman" w:cs="Times New Roman" w:eastAsia="Times New Roman" w:hAnsi="Times New Roman"/>
          <w:sz w:val="24"/>
          <w:szCs w:val="24"/>
        </w:rPr>
        <w:t xml:space="preserve"> documentan que las personas de menores recursos socioeconómicos son más vulnerables a los efectos de la contaminación del aire, tanto por mayor exposición —residencia en zonas más contaminadas— como por menor acceso a tratamientos médicos. En el análisis departamental, esto implica que departamentos con mayor pobreza podrían mostrar tasas de mortalidad más elevadas no solo por la calidad del aire, sino también por las condiciones de vida de su población, lo que exige cautela al interpretar los coeficientes de correlación.</w:t>
      </w:r>
    </w:p>
    <w:p>
      <w:pPr>
        <w:pStyle w:val="Heading2"/>
        <w:spacing w:after="160" w:before="300"/>
      </w:pPr>
      <w:r>
        <w:rPr>
          <w:rFonts w:ascii="Times New Roman" w:cs="Times New Roman" w:eastAsia="Times New Roman" w:hAnsi="Times New Roman"/>
          <w:b/>
          <w:bCs/>
          <w:color w:val="2E5496"/>
          <w:sz w:val="26"/>
          <w:szCs w:val="26"/>
        </w:rPr>
        <w:t xml:space="preserve">5.5 Rezagos temporales en la relación exposición-efecto</w:t>
      </w:r>
    </w:p>
    <w:p>
      <w:pPr>
        <w:spacing w:after="160" w:before="160" w:line="360"/>
        <w:jc w:val="both"/>
      </w:pPr>
      <w:r>
        <w:rPr>
          <w:rFonts w:ascii="Times New Roman" w:cs="Times New Roman" w:eastAsia="Times New Roman" w:hAnsi="Times New Roman"/>
          <w:sz w:val="24"/>
          <w:szCs w:val="24"/>
        </w:rPr>
        <w:t xml:space="preserve">La relación entre la exposición a contaminantes del aire y la mortalidad respiratoria no es instantánea; los efectos pueden manifestarse con diferentes desfases temporales (lags). </w:t>
      </w:r>
      <w:r>
        <w:rPr>
          <w:rFonts w:ascii="Times New Roman" w:cs="Times New Roman" w:eastAsia="Times New Roman" w:hAnsi="Times New Roman"/>
          <w:b/>
          <w:bCs/>
          <w:sz w:val="24"/>
          <w:szCs w:val="24"/>
        </w:rPr>
        <w:t xml:space="preserve">Rodríguez-Villamizar et al. (2018)</w:t>
      </w:r>
      <w:r>
        <w:rPr>
          <w:rFonts w:ascii="Times New Roman" w:cs="Times New Roman" w:eastAsia="Times New Roman" w:hAnsi="Times New Roman"/>
          <w:sz w:val="24"/>
          <w:szCs w:val="24"/>
        </w:rPr>
        <w:t xml:space="preserve"> estimaron modelos con lags de hasta 10 días y encontraron que los efectos más significativos se presentaban el mismo día de la exposición (lag 0), al día siguiente (lag 1) y al séptimo día (lag 7). </w:t>
      </w:r>
      <w:r>
        <w:rPr>
          <w:rFonts w:ascii="Times New Roman" w:cs="Times New Roman" w:eastAsia="Times New Roman" w:hAnsi="Times New Roman"/>
          <w:b/>
          <w:bCs/>
          <w:sz w:val="24"/>
          <w:szCs w:val="24"/>
        </w:rPr>
        <w:t xml:space="preserve">Gaviria et al. (2011)</w:t>
      </w:r>
      <w:r>
        <w:rPr>
          <w:rFonts w:ascii="Times New Roman" w:cs="Times New Roman" w:eastAsia="Times New Roman" w:hAnsi="Times New Roman"/>
          <w:sz w:val="24"/>
          <w:szCs w:val="24"/>
        </w:rPr>
        <w:t xml:space="preserve"> modelaron esta dependencia temporal mediante un proceso autorregresivo AR(6), que capturó la relación de las consultas con sus valores hasta seis días anteriores.</w:t>
      </w:r>
    </w:p>
    <w:p>
      <w:pPr>
        <w:spacing w:after="160" w:before="160" w:line="360"/>
        <w:jc w:val="both"/>
      </w:pPr>
      <w:r>
        <w:rPr>
          <w:rFonts w:ascii="Times New Roman" w:cs="Times New Roman" w:eastAsia="Times New Roman" w:hAnsi="Times New Roman"/>
          <w:sz w:val="24"/>
          <w:szCs w:val="24"/>
        </w:rPr>
        <w:t xml:space="preserve">Para el análisis a escala departamental con datos agregados por mes, el concepto de rezago temporal adquiere una connotación ligeramente distinta: se evalúa si los meses con peores índices de calidad del aire preceden a los meses con mayor tasa de mortalidad respiratoria. Esta perspectiva es compatible con la naturaleza de los datos disponibles y con el enfoque del análisis correlacional, y está respaldada por la evidencia de que los efectos crónicos de la exposición continua a contaminantes pueden tardar semanas o meses en manifestarse clínicamente (</w:t>
      </w:r>
      <w:r>
        <w:rPr>
          <w:rFonts w:ascii="Times New Roman" w:cs="Times New Roman" w:eastAsia="Times New Roman" w:hAnsi="Times New Roman"/>
          <w:b/>
          <w:bCs/>
          <w:sz w:val="24"/>
          <w:szCs w:val="24"/>
        </w:rPr>
        <w:t xml:space="preserve">Gaviria et al., 2011</w:t>
      </w:r>
      <w:r>
        <w:rPr>
          <w:rFonts w:ascii="Times New Roman" w:cs="Times New Roman" w:eastAsia="Times New Roman" w:hAnsi="Times New Roman"/>
          <w:sz w:val="24"/>
          <w:szCs w:val="24"/>
        </w:rPr>
        <w:t xml:space="preserve">).</w:t>
      </w:r>
    </w:p>
    <w:p>
      <w:pPr>
        <w:pStyle w:val="Heading1"/>
        <w:spacing w:after="200" w:before="400"/>
      </w:pPr>
      <w:r>
        <w:rPr>
          <w:rFonts w:ascii="Times New Roman" w:cs="Times New Roman" w:eastAsia="Times New Roman" w:hAnsi="Times New Roman"/>
          <w:b/>
          <w:bCs/>
          <w:color w:val="1F3864"/>
          <w:sz w:val="28"/>
          <w:szCs w:val="28"/>
        </w:rPr>
        <w:t xml:space="preserve">6. Síntesis y Articulación Teórica del Proyecto</w:t>
      </w:r>
    </w:p>
    <w:p>
      <w:pPr>
        <w:spacing w:after="160" w:before="160" w:line="360"/>
        <w:jc w:val="both"/>
      </w:pPr>
      <w:r>
        <w:rPr>
          <w:rFonts w:ascii="Times New Roman" w:cs="Times New Roman" w:eastAsia="Times New Roman" w:hAnsi="Times New Roman"/>
          <w:sz w:val="24"/>
          <w:szCs w:val="24"/>
        </w:rPr>
        <w:t xml:space="preserve">El marco teórico desarrollado sustenta el proyecto de investigación en cuatro dimensiones interconectadas. En primer lugar, la dimensión conceptual establece que la calidad del aire —medida a través del ICA y las concentraciones de PM</w:t>
      </w:r>
      <w:r>
        <w:rPr>
          <w:rFonts w:ascii="Times New Roman" w:cs="Times New Roman" w:eastAsia="Times New Roman" w:hAnsi="Times New Roman"/>
          <w:sz w:val="20"/>
          <w:szCs w:val="20"/>
          <w:vertAlign w:val="subscript"/>
        </w:rPr>
        <w:t xml:space="preserve">2.5</w:t>
      </w:r>
      <w:r>
        <w:rPr>
          <w:rFonts w:ascii="Times New Roman" w:cs="Times New Roman" w:eastAsia="Times New Roman" w:hAnsi="Times New Roman"/>
          <w:sz w:val="24"/>
          <w:szCs w:val="24"/>
        </w:rPr>
        <w:t xml:space="preserve">, PM</w:t>
      </w:r>
      <w:r>
        <w:rPr>
          <w:rFonts w:ascii="Times New Roman" w:cs="Times New Roman" w:eastAsia="Times New Roman" w:hAnsi="Times New Roman"/>
          <w:sz w:val="20"/>
          <w:szCs w:val="20"/>
          <w:vertAlign w:val="subscript"/>
        </w:rPr>
        <w:t xml:space="preserve">10</w:t>
      </w:r>
      <w:r>
        <w:rPr>
          <w:rFonts w:ascii="Times New Roman" w:cs="Times New Roman" w:eastAsia="Times New Roman" w:hAnsi="Times New Roman"/>
          <w:sz w:val="24"/>
          <w:szCs w:val="24"/>
        </w:rPr>
        <w:t xml:space="preserve">, NO</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4"/>
          <w:szCs w:val="24"/>
        </w:rPr>
        <w:t xml:space="preserve">, SO</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4"/>
          <w:szCs w:val="24"/>
        </w:rPr>
        <w:t xml:space="preserve">, CO y O</w:t>
      </w:r>
      <w:r>
        <w:rPr>
          <w:rFonts w:ascii="Times New Roman" w:cs="Times New Roman" w:eastAsia="Times New Roman" w:hAnsi="Times New Roman"/>
          <w:sz w:val="20"/>
          <w:szCs w:val="20"/>
          <w:vertAlign w:val="subscript"/>
        </w:rPr>
        <w:t xml:space="preserve">3</w:t>
      </w:r>
      <w:r>
        <w:rPr>
          <w:rFonts w:ascii="Times New Roman" w:cs="Times New Roman" w:eastAsia="Times New Roman" w:hAnsi="Times New Roman"/>
          <w:sz w:val="24"/>
          <w:szCs w:val="24"/>
        </w:rPr>
        <w:t xml:space="preserve">— es un determinante ambiental de la mortalidad por enfermedades respiratorias, con mecanismos fisiopatológicos bien documentados tanto para exposiciones agudas como crónicas (</w:t>
      </w:r>
      <w:r>
        <w:rPr>
          <w:rFonts w:ascii="Times New Roman" w:cs="Times New Roman" w:eastAsia="Times New Roman" w:hAnsi="Times New Roman"/>
          <w:b/>
          <w:bCs/>
          <w:sz w:val="24"/>
          <w:szCs w:val="24"/>
        </w:rPr>
        <w:t xml:space="preserve">Gaviria et al., 2011; Carmona, 2009; Saffon et al., 2022</w:t>
      </w:r>
      <w:r>
        <w:rPr>
          <w:rFonts w:ascii="Times New Roman" w:cs="Times New Roman" w:eastAsia="Times New Roman" w:hAnsi="Times New Roman"/>
          <w:sz w:val="24"/>
          <w:szCs w:val="24"/>
        </w:rPr>
        <w:t xml:space="preserve">).</w:t>
      </w:r>
    </w:p>
    <w:p>
      <w:pPr>
        <w:spacing w:after="160" w:before="160" w:line="360"/>
        <w:jc w:val="both"/>
      </w:pPr>
      <w:r>
        <w:rPr>
          <w:rFonts w:ascii="Times New Roman" w:cs="Times New Roman" w:eastAsia="Times New Roman" w:hAnsi="Times New Roman"/>
          <w:sz w:val="24"/>
          <w:szCs w:val="24"/>
        </w:rPr>
        <w:t xml:space="preserve">En segundo lugar, la dimensión empírica confirma que esta relación es estadísticamente significativa en el contexto colombiano, con evidencia proveniente de Medellín (</w:t>
      </w:r>
      <w:r>
        <w:rPr>
          <w:rFonts w:ascii="Times New Roman" w:cs="Times New Roman" w:eastAsia="Times New Roman" w:hAnsi="Times New Roman"/>
          <w:b/>
          <w:bCs/>
          <w:sz w:val="24"/>
          <w:szCs w:val="24"/>
        </w:rPr>
        <w:t xml:space="preserve">Gaviria et al., 2011; Piñeros-Jiménez et al., 2022</w:t>
      </w:r>
      <w:r>
        <w:rPr>
          <w:rFonts w:ascii="Times New Roman" w:cs="Times New Roman" w:eastAsia="Times New Roman" w:hAnsi="Times New Roman"/>
          <w:sz w:val="24"/>
          <w:szCs w:val="24"/>
        </w:rPr>
        <w:t xml:space="preserve">), Manizales (</w:t>
      </w:r>
      <w:r>
        <w:rPr>
          <w:rFonts w:ascii="Times New Roman" w:cs="Times New Roman" w:eastAsia="Times New Roman" w:hAnsi="Times New Roman"/>
          <w:b/>
          <w:bCs/>
          <w:sz w:val="24"/>
          <w:szCs w:val="24"/>
        </w:rPr>
        <w:t xml:space="preserve">Saffon et al., 2022; Carmona, 2009</w:t>
      </w:r>
      <w:r>
        <w:rPr>
          <w:rFonts w:ascii="Times New Roman" w:cs="Times New Roman" w:eastAsia="Times New Roman" w:hAnsi="Times New Roman"/>
          <w:sz w:val="24"/>
          <w:szCs w:val="24"/>
        </w:rPr>
        <w:t xml:space="preserve">), Bogotá (</w:t>
      </w:r>
      <w:r>
        <w:rPr>
          <w:rFonts w:ascii="Times New Roman" w:cs="Times New Roman" w:eastAsia="Times New Roman" w:hAnsi="Times New Roman"/>
          <w:b/>
          <w:bCs/>
          <w:sz w:val="24"/>
          <w:szCs w:val="24"/>
        </w:rPr>
        <w:t xml:space="preserve">Zafra-Mejía et al., 2020</w:t>
      </w:r>
      <w:r>
        <w:rPr>
          <w:rFonts w:ascii="Times New Roman" w:cs="Times New Roman" w:eastAsia="Times New Roman" w:hAnsi="Times New Roman"/>
          <w:sz w:val="24"/>
          <w:szCs w:val="24"/>
        </w:rPr>
        <w:t xml:space="preserve">) y cuatro ciudades simultáneamente (</w:t>
      </w:r>
      <w:r>
        <w:rPr>
          <w:rFonts w:ascii="Times New Roman" w:cs="Times New Roman" w:eastAsia="Times New Roman" w:hAnsi="Times New Roman"/>
          <w:b/>
          <w:bCs/>
          <w:sz w:val="24"/>
          <w:szCs w:val="24"/>
        </w:rPr>
        <w:t xml:space="preserve">Rodríguez-Villamizar et al., 2018</w:t>
      </w:r>
      <w:r>
        <w:rPr>
          <w:rFonts w:ascii="Times New Roman" w:cs="Times New Roman" w:eastAsia="Times New Roman" w:hAnsi="Times New Roman"/>
          <w:sz w:val="24"/>
          <w:szCs w:val="24"/>
        </w:rPr>
        <w:t xml:space="preserve">). Los estudios revisados demuestran consistentemente que incluso concentraciones de contaminantes por debajo de los estándares nacionales producen efectos negativos en la salud pública, lo que otorga relevancia al análisis departamental en 2024.</w:t>
      </w:r>
    </w:p>
    <w:p>
      <w:pPr>
        <w:spacing w:after="160" w:before="160" w:line="360"/>
        <w:jc w:val="both"/>
      </w:pPr>
      <w:r>
        <w:rPr>
          <w:rFonts w:ascii="Times New Roman" w:cs="Times New Roman" w:eastAsia="Times New Roman" w:hAnsi="Times New Roman"/>
          <w:sz w:val="24"/>
          <w:szCs w:val="24"/>
        </w:rPr>
        <w:t xml:space="preserve">En tercer lugar, la dimensión normativa establece el marco regulatorio dentro del cual operan las mediciones del presente estudio, particularmente la Resolución 2254 de 2017 del Ministerio de Ambiente, que define los umbrales del ICA aplicados al cálculo del índice de calidad del aire por estación y período (</w:t>
      </w:r>
      <w:r>
        <w:rPr>
          <w:rFonts w:ascii="Times New Roman" w:cs="Times New Roman" w:eastAsia="Times New Roman" w:hAnsi="Times New Roman"/>
          <w:b/>
          <w:bCs/>
          <w:sz w:val="24"/>
          <w:szCs w:val="24"/>
        </w:rPr>
        <w:t xml:space="preserve">Rodríguez-Villamizar et al., 2018; Saffon et al., 2022</w:t>
      </w:r>
      <w:r>
        <w:rPr>
          <w:rFonts w:ascii="Times New Roman" w:cs="Times New Roman" w:eastAsia="Times New Roman" w:hAnsi="Times New Roman"/>
          <w:sz w:val="24"/>
          <w:szCs w:val="24"/>
        </w:rPr>
        <w:t xml:space="preserve">).</w:t>
      </w:r>
    </w:p>
    <w:p>
      <w:pPr>
        <w:spacing w:after="160" w:before="160" w:line="360"/>
        <w:jc w:val="both"/>
      </w:pPr>
      <w:r>
        <w:rPr>
          <w:rFonts w:ascii="Times New Roman" w:cs="Times New Roman" w:eastAsia="Times New Roman" w:hAnsi="Times New Roman"/>
          <w:sz w:val="24"/>
          <w:szCs w:val="24"/>
        </w:rPr>
        <w:t xml:space="preserve">Finalmente, la dimensión metodológica provee las herramientas analíticas —análisis exploratorio de datos con Pandas, correlación de Pearson/Spearman, modelos de regresión con control de confusores, visualización interactiva mediante dashboard— que permiten abordar la pregunta de investigación: ¿Existe una correlación estadísticamente significativa entre la calidad del aire y la tasa de mortalidad por enfermedades respiratorias en los departamentos de Colombia durante 2024? La integración de bases de datos del DANE e IDEAM mediante SQL y Pandas, siguiendo las prácticas metodológicas documentadas en los estudios revisados, garantiza la validez y reproducibilidad del proceso analítico.</w:t>
      </w:r>
    </w:p>
    <w:p>
      <w:pPr>
        <w:pStyle w:val="Heading1"/>
        <w:spacing w:after="200" w:before="600"/>
      </w:pPr>
      <w:r>
        <w:rPr>
          <w:rFonts w:ascii="Times New Roman" w:cs="Times New Roman" w:eastAsia="Times New Roman" w:hAnsi="Times New Roman"/>
          <w:b/>
          <w:bCs/>
          <w:color w:val="1F3864"/>
          <w:sz w:val="28"/>
          <w:szCs w:val="28"/>
        </w:rPr>
        <w:t xml:space="preserve">Referencias</w:t>
      </w:r>
    </w:p>
    <w:p>
      <w:pPr>
        <w:spacing w:after="100" w:before="100" w:line="360"/>
        <w:ind w:left="720" w:hanging="720"/>
        <w:jc w:val="both"/>
      </w:pPr>
      <w:r>
        <w:rPr>
          <w:rFonts w:ascii="Times New Roman" w:cs="Times New Roman" w:eastAsia="Times New Roman" w:hAnsi="Times New Roman"/>
          <w:sz w:val="24"/>
          <w:szCs w:val="24"/>
        </w:rPr>
        <w:t xml:space="preserve">Carmona, J. C. (2009). Infección Respiratoria Aguda en relación con la contaminación atmosférica y otros factores ambientales. Archivos de Medicina, 9(1), 69-79. Universidad de Manizales.</w:t>
      </w:r>
    </w:p>
    <w:p>
      <w:pPr>
        <w:spacing w:after="100" w:before="100" w:line="360"/>
        <w:ind w:left="720" w:hanging="720"/>
        <w:jc w:val="both"/>
      </w:pPr>
      <w:r>
        <w:rPr>
          <w:rFonts w:ascii="Times New Roman" w:cs="Times New Roman" w:eastAsia="Times New Roman" w:hAnsi="Times New Roman"/>
          <w:sz w:val="24"/>
          <w:szCs w:val="24"/>
        </w:rPr>
        <w:t xml:space="preserve">Gaviria, C. F., Benavides, P. C., y Tangarife, C. A. (2011). Contaminación por material particulado (PM2,5 y PM10) y consultas por enfermedades respiratorias en Medellín (2008-2009). Revista Facultad Nacional de Salud Pública, 29(3), 241-250. Universidad de Antioquia.</w:t>
      </w:r>
    </w:p>
    <w:p>
      <w:pPr>
        <w:spacing w:after="100" w:before="100" w:line="360"/>
        <w:ind w:left="720" w:hanging="720"/>
        <w:jc w:val="both"/>
      </w:pPr>
      <w:r>
        <w:rPr>
          <w:rFonts w:ascii="Times New Roman" w:cs="Times New Roman" w:eastAsia="Times New Roman" w:hAnsi="Times New Roman"/>
          <w:sz w:val="24"/>
          <w:szCs w:val="24"/>
        </w:rPr>
        <w:t xml:space="preserve">Piñeros-Jiménez, J. G., Franco, M. C., Montealegre-Hernández, N. A., Grisales-Vargas, S. C., Gutiérrez-Cano, Y. A., y Grisales-Romero, H. (2022). Distribución espacial de la morbimortalidad atribuible a la contaminación del aire por PM2.5 en Medellín (Colombia), 2010-2016. Revista Facultad Nacional de Salud Pública, 40(2), e346589. https://doi.org/10.17533/udea.rfnsp.e346589</w:t>
      </w:r>
    </w:p>
    <w:p>
      <w:pPr>
        <w:spacing w:after="100" w:before="100" w:line="360"/>
        <w:ind w:left="720" w:hanging="720"/>
        <w:jc w:val="both"/>
      </w:pPr>
      <w:r>
        <w:rPr>
          <w:rFonts w:ascii="Times New Roman" w:cs="Times New Roman" w:eastAsia="Times New Roman" w:hAnsi="Times New Roman"/>
          <w:sz w:val="24"/>
          <w:szCs w:val="24"/>
        </w:rPr>
        <w:t xml:space="preserve">Rodríguez-Villamizar, L. A., Rojas-Roa, N. Y., Blanco-Becerra, L. C., Herrera-Galindo, V. M., y Fernández-Niño, J. A. (2018). Short-Term Effects of Air Pollution on Respiratory and Circulatory Morbidity in Colombia 2011–2014: A Multi-City, Time-Series Analysis. International Journal of Environmental Research and Public Health, 15(8), 1610. https://doi.org/10.3390/ijerph15081610</w:t>
      </w:r>
    </w:p>
    <w:p>
      <w:pPr>
        <w:spacing w:after="100" w:before="100" w:line="360"/>
        <w:ind w:left="720" w:hanging="720"/>
        <w:jc w:val="both"/>
      </w:pPr>
      <w:r>
        <w:rPr>
          <w:rFonts w:ascii="Times New Roman" w:cs="Times New Roman" w:eastAsia="Times New Roman" w:hAnsi="Times New Roman"/>
          <w:sz w:val="24"/>
          <w:szCs w:val="24"/>
        </w:rPr>
        <w:t xml:space="preserve">Saffon, I., Costa, Y. J., y Betancur, J. F. (2022). Calidad del aire y su relación con enfermedades respiratorias en la ciudad de Manizales. Naturaleza y Sociedad. Desafíos Medioambientales, (2), 129-144. https://doi.org/10.53010/nys2.06</w:t>
      </w:r>
    </w:p>
    <w:p>
      <w:pPr>
        <w:spacing w:after="100" w:before="100" w:line="360"/>
        <w:ind w:left="720" w:hanging="720"/>
        <w:jc w:val="both"/>
      </w:pPr>
      <w:r>
        <w:rPr>
          <w:rFonts w:ascii="Times New Roman" w:cs="Times New Roman" w:eastAsia="Times New Roman" w:hAnsi="Times New Roman"/>
          <w:sz w:val="24"/>
          <w:szCs w:val="24"/>
        </w:rPr>
        <w:t xml:space="preserve">Zafra-Mejía, C. A., Rodríguez-Miranda, J. P., y Rondón-Quintana, H. A. (2020). The relationship between atmospheric condition and human mortality associated with coarse particulate matter in Bogotá (Colombia). Revista Logos Ciencia &amp; Tecnología, 12(3), 57-68. https://doi.org/10.22335/rlct.v12i3.1237</w:t>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60" w:before="300"/>
      <w:outlineLvl w:val="1"/>
    </w:pPr>
    <w:rPr>
      <w:rFonts w:ascii="Times New Roman" w:cs="Times New Roman" w:eastAsia="Times New Roman" w:hAnsi="Times New Roman"/>
      <w:b/>
      <w:bCs/>
      <w:color w:val="2E5496"/>
      <w:sz w:val="26"/>
      <w:szCs w:val="26"/>
    </w:rPr>
  </w:style>
  <w:style w:type="paragraph" w:styleId="Heading3">
    <w:name w:val="Heading 3"/>
    <w:basedOn w:val="Normal"/>
    <w:next w:val="Normal"/>
    <w:qFormat/>
    <w:pPr>
      <w:spacing w:after="120" w:before="220"/>
      <w:outlineLvl w:val="2"/>
    </w:pPr>
    <w:rPr>
      <w:rFonts w:ascii="Times New Roman" w:cs="Times New Roman" w:eastAsia="Times New Roman" w:hAnsi="Times New Roman"/>
      <w:b/>
      <w:bCs/>
      <w:i/>
      <w:i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2026-04-07T02:46:23.105Z</dcterms:created>
  <dcterms:modified xsi:type="dcterms:W3CDTF">2026-04-07T02:46:23.106Z</dcterms:modified>
</cp:coreProperties>
</file>

<file path=docProps/custom.xml><?xml version="1.0" encoding="utf-8"?>
<Properties xmlns="http://schemas.openxmlformats.org/officeDocument/2006/custom-properties" xmlns:vt="http://schemas.openxmlformats.org/officeDocument/2006/docPropsVTypes"/>
</file>