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0"/>
      </w:tblGrid>
      <w:tr w:rsidR="004B7E44" w14:paraId="0C7EE2B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47876092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362E692" wp14:editId="24B0A8F1">
                      <wp:simplePos x="0" y="0"/>
                      <wp:positionH relativeFrom="column">
                        <wp:posOffset>193</wp:posOffset>
                      </wp:positionH>
                      <wp:positionV relativeFrom="paragraph">
                        <wp:posOffset>627</wp:posOffset>
                      </wp:positionV>
                      <wp:extent cx="5810491" cy="1506829"/>
                      <wp:effectExtent l="0" t="0" r="0" b="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0491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F445AC" w14:textId="4FB29042" w:rsidR="004B7E44" w:rsidRPr="00952103" w:rsidRDefault="00952103" w:rsidP="004B7E44">
                                  <w:pPr>
                                    <w:pStyle w:val="Ttulo"/>
                                    <w:rPr>
                                      <w:sz w:val="66"/>
                                      <w:szCs w:val="66"/>
                                      <w:lang w:bidi="pt-BR"/>
                                    </w:rPr>
                                  </w:pPr>
                                  <w:r w:rsidRPr="00952103">
                                    <w:rPr>
                                      <w:sz w:val="66"/>
                                      <w:szCs w:val="66"/>
                                      <w:lang w:bidi="pt-BR"/>
                                    </w:rPr>
                                    <w:t>Relatório final</w:t>
                                  </w:r>
                                </w:p>
                                <w:p w14:paraId="7F05A08E" w14:textId="5DAD51D1" w:rsidR="00952103" w:rsidRPr="00952103" w:rsidRDefault="00952103" w:rsidP="004B7E44">
                                  <w:pPr>
                                    <w:pStyle w:val="Ttulo"/>
                                    <w:rPr>
                                      <w:sz w:val="66"/>
                                      <w:szCs w:val="66"/>
                                      <w:lang w:bidi="pt-BR"/>
                                    </w:rPr>
                                  </w:pPr>
                                  <w:r w:rsidRPr="00952103">
                                    <w:rPr>
                                      <w:sz w:val="66"/>
                                      <w:szCs w:val="66"/>
                                      <w:lang w:bidi="pt-BR"/>
                                    </w:rPr>
                                    <w:t>ITAÚ asset quantamental</w:t>
                                  </w:r>
                                </w:p>
                                <w:p w14:paraId="304E7570" w14:textId="366ED9F5" w:rsidR="00952103" w:rsidRPr="00952103" w:rsidRDefault="00952103" w:rsidP="004B7E44">
                                  <w:pPr>
                                    <w:pStyle w:val="Ttulo"/>
                                    <w:rPr>
                                      <w:sz w:val="66"/>
                                      <w:szCs w:val="66"/>
                                    </w:rPr>
                                  </w:pPr>
                                  <w:r w:rsidRPr="00952103">
                                    <w:rPr>
                                      <w:sz w:val="66"/>
                                      <w:szCs w:val="66"/>
                                      <w:lang w:bidi="pt-B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62E69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position:absolute;margin-left:0;margin-top:.05pt;width:457.5pt;height:118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" filled="f" stroked="f" strokeweight=".5pt">
                      <v:textbox>
                        <w:txbxContent>
                          <w:p w14:paraId="00F445AC" w14:textId="4FB29042" w:rsidR="004B7E44" w:rsidRPr="00952103" w:rsidRDefault="00952103" w:rsidP="004B7E44">
                            <w:pPr>
                              <w:pStyle w:val="Ttulo"/>
                              <w:rPr>
                                <w:sz w:val="66"/>
                                <w:szCs w:val="66"/>
                                <w:lang w:bidi="pt-BR"/>
                              </w:rPr>
                            </w:pPr>
                            <w:r w:rsidRPr="00952103">
                              <w:rPr>
                                <w:sz w:val="66"/>
                                <w:szCs w:val="66"/>
                                <w:lang w:bidi="pt-BR"/>
                              </w:rPr>
                              <w:t>Relatório final</w:t>
                            </w:r>
                          </w:p>
                          <w:p w14:paraId="7F05A08E" w14:textId="5DAD51D1" w:rsidR="00952103" w:rsidRPr="00952103" w:rsidRDefault="00952103" w:rsidP="004B7E44">
                            <w:pPr>
                              <w:pStyle w:val="Ttulo"/>
                              <w:rPr>
                                <w:sz w:val="66"/>
                                <w:szCs w:val="66"/>
                                <w:lang w:bidi="pt-BR"/>
                              </w:rPr>
                            </w:pPr>
                            <w:r w:rsidRPr="00952103">
                              <w:rPr>
                                <w:sz w:val="66"/>
                                <w:szCs w:val="66"/>
                                <w:lang w:bidi="pt-BR"/>
                              </w:rPr>
                              <w:t>ITAÚ asset quantamental</w:t>
                            </w:r>
                          </w:p>
                          <w:p w14:paraId="304E7570" w14:textId="366ED9F5" w:rsidR="00952103" w:rsidRPr="00952103" w:rsidRDefault="00952103" w:rsidP="004B7E44">
                            <w:pPr>
                              <w:pStyle w:val="Ttulo"/>
                              <w:rPr>
                                <w:sz w:val="66"/>
                                <w:szCs w:val="66"/>
                              </w:rPr>
                            </w:pPr>
                            <w:r w:rsidRPr="00952103">
                              <w:rPr>
                                <w:sz w:val="66"/>
                                <w:szCs w:val="66"/>
                                <w:lang w:bidi="pt-BR"/>
                              </w:rPr>
                              <w:t>2023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F90AC90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6F2B52FA" wp14:editId="6C1B2BF7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5FAC60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C38DCE3" w14:textId="67EFD9FE" w:rsidR="004B7E44" w:rsidRDefault="004B7E44" w:rsidP="004B7E44"/>
        </w:tc>
      </w:tr>
      <w:tr w:rsidR="004B7E44" w14:paraId="3C2C414D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CF9D8" w14:textId="0EF86BFF" w:rsidR="004B7E44" w:rsidRDefault="00952103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6B53C0CB" wp14:editId="07181D91">
                      <wp:extent cx="5138670" cy="746975"/>
                      <wp:effectExtent l="0" t="0" r="0" b="0"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91A876" w14:textId="7A331B52" w:rsidR="00952103" w:rsidRPr="004B7E44" w:rsidRDefault="00952103" w:rsidP="00952103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AABA – ALPHA QUANT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53C0CB" id="Caixa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2091A876" w14:textId="7A331B52" w:rsidR="00952103" w:rsidRPr="004B7E44" w:rsidRDefault="00952103" w:rsidP="00952103">
                            <w:pPr>
                              <w:pStyle w:val="Subttulo"/>
                            </w:pPr>
                            <w:r>
                              <w:rPr>
                                <w:lang w:bidi="pt-BR"/>
                              </w:rPr>
                              <w:t>AABA</w:t>
                            </w:r>
                            <w:r>
                              <w:rPr>
                                <w:lang w:bidi="pt-BR"/>
                              </w:rPr>
                              <w:t xml:space="preserve"> – ALPHA QUANT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4B7E44"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5B3FDB64" wp14:editId="3BD0725B">
                      <wp:extent cx="2842054" cy="469557"/>
                      <wp:effectExtent l="0" t="0" r="0" b="6985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4D50A0" w14:textId="5554ECB0" w:rsidR="004B7E44" w:rsidRPr="004B7E44" w:rsidRDefault="004B7E44" w:rsidP="004B7E44">
                                  <w:pPr>
                                    <w:pStyle w:val="Ttu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3FDB64" id="Caixa de tex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484D50A0" w14:textId="5554ECB0" w:rsidR="004B7E44" w:rsidRPr="004B7E44" w:rsidRDefault="004B7E44" w:rsidP="004B7E44">
                            <w:pPr>
                              <w:pStyle w:val="Ttu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99D279" w14:textId="77777777" w:rsidR="004B7E44" w:rsidRDefault="004B7E44" w:rsidP="004B7E44"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46BFDD88" wp14:editId="49A28764">
                      <wp:extent cx="2524259" cy="605155"/>
                      <wp:effectExtent l="0" t="0" r="0" b="4445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586712" w14:textId="116A9DBA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BFDD88" id="Caixa de tex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39586712" w14:textId="116A9DBA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pt-BR"/>
              </w:rPr>
              <mc:AlternateContent>
                <mc:Choice Requires="wps">
                  <w:drawing>
                    <wp:inline distT="0" distB="0" distL="0" distR="0" wp14:anchorId="7B30F120" wp14:editId="1F9F44C0">
                      <wp:extent cx="2215166" cy="605155"/>
                      <wp:effectExtent l="0" t="0" r="0" b="4445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79E51E" w14:textId="42319AF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30F120" id="Caixa de tex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1E79E51E" w14:textId="42319AF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8D1FC8B" w14:textId="77777777" w:rsidR="004B7E44" w:rsidRDefault="004B7E44" w:rsidP="004B7E44">
      <w:r>
        <w:rPr>
          <w:noProof/>
          <w:lang w:bidi="pt-BR"/>
        </w:rPr>
        <w:drawing>
          <wp:anchor distT="0" distB="0" distL="114300" distR="114300" simplePos="0" relativeHeight="251658240" behindDoc="1" locked="0" layoutInCell="1" allowOverlap="1" wp14:anchorId="3C1D316C" wp14:editId="46FDD480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CE0B4B" wp14:editId="0593F917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52BE6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97E0A6E" w14:textId="46E3F056" w:rsidR="00952103" w:rsidRDefault="00952103" w:rsidP="00952103">
      <w:pPr>
        <w:spacing w:after="200"/>
      </w:pPr>
    </w:p>
    <w:p w14:paraId="2997FD7A" w14:textId="2F77C0D7" w:rsidR="00952103" w:rsidRDefault="00952103" w:rsidP="00952103">
      <w:pPr>
        <w:spacing w:after="200"/>
      </w:pPr>
    </w:p>
    <w:p w14:paraId="202DBC5E" w14:textId="77777777" w:rsidR="00952103" w:rsidRDefault="00952103">
      <w:pPr>
        <w:spacing w:after="200"/>
      </w:pPr>
      <w:r>
        <w:br w:type="page"/>
      </w:r>
    </w:p>
    <w:p w14:paraId="156C1718" w14:textId="28759881" w:rsidR="00FA6E2E" w:rsidRDefault="00FA6E2E" w:rsidP="00952103">
      <w:pPr>
        <w:spacing w:after="200"/>
        <w:rPr>
          <w:rFonts w:ascii="Times New Roman" w:hAnsi="Times New Roman" w:cs="Times New Roman"/>
          <w:b/>
          <w:bCs/>
          <w:color w:val="auto"/>
          <w:sz w:val="32"/>
          <w:szCs w:val="24"/>
        </w:rPr>
      </w:pPr>
      <w:r w:rsidRPr="00FA6E2E">
        <w:rPr>
          <w:rFonts w:ascii="Times New Roman" w:hAnsi="Times New Roman" w:cs="Times New Roman"/>
          <w:b/>
          <w:bCs/>
          <w:color w:val="auto"/>
          <w:sz w:val="32"/>
          <w:szCs w:val="24"/>
        </w:rPr>
        <w:lastRenderedPageBreak/>
        <w:t>Explicação do Nome:</w:t>
      </w:r>
    </w:p>
    <w:p w14:paraId="3944840E" w14:textId="471B11AD" w:rsid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O Alpha Quant leva esse nome, pois visa obter um Alpha em relação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a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média de retorno no mercado de ações, isso é feito de forma totalmente sistemática, sem interferência de tomada de decisão humana, apenas utilizando um modelo de fatores.</w:t>
      </w:r>
    </w:p>
    <w:p w14:paraId="3A6E2197" w14:textId="2CC94657" w:rsidR="00FA6E2E" w:rsidRDefault="00FA6E2E" w:rsidP="00952103">
      <w:pPr>
        <w:spacing w:after="200"/>
        <w:rPr>
          <w:rFonts w:ascii="Times New Roman" w:hAnsi="Times New Roman" w:cs="Times New Roman"/>
          <w:b/>
          <w:bCs/>
          <w:color w:val="auto"/>
          <w:sz w:val="32"/>
          <w:szCs w:val="24"/>
          <w:lang w:val="en-US"/>
        </w:rPr>
      </w:pPr>
      <w:r w:rsidRPr="00FA6E2E">
        <w:rPr>
          <w:rFonts w:ascii="Times New Roman" w:hAnsi="Times New Roman" w:cs="Times New Roman"/>
          <w:b/>
          <w:bCs/>
          <w:color w:val="auto"/>
          <w:sz w:val="32"/>
          <w:szCs w:val="24"/>
        </w:rPr>
        <w:t>Design do Alpha Quant</w:t>
      </w:r>
      <w:r w:rsidRPr="00FA6E2E">
        <w:rPr>
          <w:rFonts w:ascii="Times New Roman" w:hAnsi="Times New Roman" w:cs="Times New Roman"/>
          <w:b/>
          <w:bCs/>
          <w:color w:val="auto"/>
          <w:sz w:val="32"/>
          <w:szCs w:val="24"/>
          <w:lang w:val="en-US"/>
        </w:rPr>
        <w:t>:</w:t>
      </w:r>
    </w:p>
    <w:p w14:paraId="43332A88" w14:textId="5AD3562A" w:rsidR="00FA6E2E" w:rsidRDefault="00FA6E2E" w:rsidP="00952103">
      <w:pPr>
        <w:spacing w:after="200"/>
        <w:rPr>
          <w:rFonts w:ascii="Times New Roman" w:hAnsi="Times New Roman" w:cs="Times New Roman"/>
          <w:color w:val="auto"/>
          <w:sz w:val="24"/>
          <w:szCs w:val="20"/>
          <w:lang w:val="en-US"/>
        </w:rPr>
      </w:pPr>
      <w:r w:rsidRPr="00E24DF6">
        <w:rPr>
          <w:noProof/>
          <w:sz w:val="24"/>
          <w:szCs w:val="24"/>
        </w:rPr>
        <w:drawing>
          <wp:inline distT="0" distB="0" distL="0" distR="0" wp14:anchorId="789D5FDF" wp14:editId="418FAD23">
            <wp:extent cx="2720051" cy="4146353"/>
            <wp:effectExtent l="0" t="0" r="4445" b="6985"/>
            <wp:docPr id="16" name="Picture 15" descr="A robot standing on a sta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3C13B4-47F5-7DC2-6C06-067272286B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robot standing on a stand&#10;&#10;Description automatically generated">
                      <a:extLst>
                        <a:ext uri="{FF2B5EF4-FFF2-40B4-BE49-F238E27FC236}">
                          <a16:creationId xmlns:a16="http://schemas.microsoft.com/office/drawing/2014/main" id="{683C13B4-47F5-7DC2-6C06-067272286B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466" cy="42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AD80" w14:textId="77777777" w:rsidR="00FA6E2E" w:rsidRDefault="00FA6E2E" w:rsidP="00FA6E2E">
      <w:pPr>
        <w:spacing w:after="200"/>
        <w:rPr>
          <w:rFonts w:ascii="Times New Roman" w:hAnsi="Times New Roman" w:cs="Times New Roman"/>
          <w:b/>
          <w:bCs/>
          <w:color w:val="auto"/>
          <w:sz w:val="32"/>
          <w:szCs w:val="24"/>
        </w:rPr>
      </w:pPr>
    </w:p>
    <w:p w14:paraId="53329E58" w14:textId="3FF1ED5C" w:rsidR="00FA6E2E" w:rsidRPr="00FA6E2E" w:rsidRDefault="00FA6E2E" w:rsidP="00FA6E2E">
      <w:pPr>
        <w:spacing w:after="200"/>
        <w:rPr>
          <w:rFonts w:ascii="Times New Roman" w:hAnsi="Times New Roman" w:cs="Times New Roman"/>
          <w:b/>
          <w:bCs/>
          <w:color w:val="auto"/>
          <w:sz w:val="32"/>
          <w:szCs w:val="24"/>
        </w:rPr>
      </w:pPr>
      <w:r w:rsidRPr="00FA6E2E">
        <w:rPr>
          <w:rFonts w:ascii="Times New Roman" w:hAnsi="Times New Roman" w:cs="Times New Roman"/>
          <w:b/>
          <w:bCs/>
          <w:color w:val="auto"/>
          <w:sz w:val="32"/>
          <w:szCs w:val="24"/>
        </w:rPr>
        <w:t>Racional Estratégia e Demais informações:</w:t>
      </w:r>
    </w:p>
    <w:p w14:paraId="64DC840D" w14:textId="3224F9E1" w:rsidR="00FA6E2E" w:rsidRP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Nossa estratégia consiste em sistematizar e otimizar para o mercado brasileiro a Magic Formula desenvolvida pelo gesto de Hedge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Funds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e investidor Joel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Greenblatt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>.</w:t>
      </w:r>
    </w:p>
    <w:p w14:paraId="1D453BC5" w14:textId="4F93090D" w:rsidR="00FA6E2E" w:rsidRP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Utilizando os fatores de EV/EBIT e ROIC, o modelo vai criar um ranking mensal com as 10 mais bem colocadas empresas no Brasil.</w:t>
      </w:r>
    </w:p>
    <w:p w14:paraId="5DAB1E4D" w14:textId="56CF092B" w:rsidR="00FA6E2E" w:rsidRP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Nossa estratégia é do tipo Portfólio, para o universo de Ações em todo o mercado brasileiro, sem limitação de volume de negociação, setor ou valor de mercado. Trabalhamos com uma Média de 3 trades por mês e um Holding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Period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de 2 meses aproximadamente, para a realização do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backtest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utilizamos o Python, majoritariamente com a biblioteca Pandas.</w:t>
      </w:r>
    </w:p>
    <w:p w14:paraId="29F42274" w14:textId="08B6544E" w:rsid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O benchmark para nosso modelo quantitativo é o Ibovespa, visto que o Alpha Quant opera no universo de Ações Brasileiras.</w:t>
      </w:r>
    </w:p>
    <w:p w14:paraId="21F65805" w14:textId="77777777" w:rsidR="00FA6E2E" w:rsidRDefault="00FA6E2E" w:rsidP="00FA6E2E">
      <w:pPr>
        <w:spacing w:after="200"/>
        <w:rPr>
          <w:rFonts w:ascii="Times New Roman" w:hAnsi="Times New Roman" w:cs="Times New Roman"/>
          <w:color w:val="auto"/>
          <w:sz w:val="24"/>
          <w:szCs w:val="20"/>
        </w:rPr>
      </w:pPr>
    </w:p>
    <w:p w14:paraId="4F2FF9B7" w14:textId="16D7C12D" w:rsidR="00FA6E2E" w:rsidRPr="00FA6E2E" w:rsidRDefault="00FA6E2E" w:rsidP="00FA6E2E">
      <w:pPr>
        <w:spacing w:after="200"/>
        <w:rPr>
          <w:rFonts w:ascii="Times New Roman" w:hAnsi="Times New Roman" w:cs="Times New Roman"/>
          <w:b/>
          <w:bCs/>
          <w:color w:val="auto"/>
          <w:sz w:val="32"/>
          <w:szCs w:val="24"/>
        </w:rPr>
      </w:pPr>
      <w:r w:rsidRPr="00FA6E2E">
        <w:rPr>
          <w:rFonts w:ascii="Times New Roman" w:hAnsi="Times New Roman" w:cs="Times New Roman"/>
          <w:b/>
          <w:bCs/>
          <w:color w:val="auto"/>
          <w:sz w:val="32"/>
          <w:szCs w:val="24"/>
        </w:rPr>
        <w:lastRenderedPageBreak/>
        <w:t>Apresentando a Estratégia</w:t>
      </w:r>
    </w:p>
    <w:p w14:paraId="53221900" w14:textId="033B5926" w:rsidR="00FA6E2E" w:rsidRP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A Magic Formula é uma estratégia de investimentos elaborada pelo investidor Joel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Greenblatt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e apresentada detalhadamente no livro “The Little Book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That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Beats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the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Market”. Após ler esse livro, percebemos como uma estratégia simples poderia gerar um retorno superior quando se comparado a média do mercado.</w:t>
      </w:r>
    </w:p>
    <w:p w14:paraId="23E23AB5" w14:textId="5E260192" w:rsidR="00FA6E2E" w:rsidRDefault="00FA6E2E" w:rsidP="003A5C89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A simplicidade da estratégia e o grande sucesso no mercado americano, nos fez perceber como essa forma simples e com base em fatores bem definido podia também funcionar no mercado brasileiro.</w:t>
      </w:r>
    </w:p>
    <w:p w14:paraId="0EC31C5A" w14:textId="5D346F7D" w:rsidR="00FA6E2E" w:rsidRDefault="00FA6E2E" w:rsidP="00FA6E2E">
      <w:pPr>
        <w:spacing w:after="200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E24DF6">
        <w:rPr>
          <w:noProof/>
          <w:sz w:val="24"/>
          <w:szCs w:val="24"/>
        </w:rPr>
        <w:drawing>
          <wp:inline distT="0" distB="0" distL="0" distR="0" wp14:anchorId="3FA5ED46" wp14:editId="5B8C5F42">
            <wp:extent cx="4819650" cy="3321366"/>
            <wp:effectExtent l="0" t="0" r="0" b="0"/>
            <wp:docPr id="203137986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79861" name="Imagem 1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583" cy="33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C145" w14:textId="74351844" w:rsidR="00FA6E2E" w:rsidRDefault="00FA6E2E" w:rsidP="00FA6E2E">
      <w:pPr>
        <w:spacing w:after="200"/>
        <w:jc w:val="center"/>
        <w:rPr>
          <w:rFonts w:ascii="Times New Roman" w:hAnsi="Times New Roman" w:cs="Times New Roman"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color w:val="auto"/>
          <w:sz w:val="22"/>
          <w:szCs w:val="18"/>
        </w:rPr>
        <w:t xml:space="preserve">Figura 1 – </w:t>
      </w:r>
      <w:proofErr w:type="spellStart"/>
      <w:r w:rsidRPr="00FA6E2E">
        <w:rPr>
          <w:rFonts w:ascii="Times New Roman" w:hAnsi="Times New Roman" w:cs="Times New Roman"/>
          <w:color w:val="auto"/>
          <w:sz w:val="22"/>
          <w:szCs w:val="18"/>
        </w:rPr>
        <w:t>Backtest</w:t>
      </w:r>
      <w:proofErr w:type="spellEnd"/>
      <w:r w:rsidRPr="00FA6E2E">
        <w:rPr>
          <w:rFonts w:ascii="Times New Roman" w:hAnsi="Times New Roman" w:cs="Times New Roman"/>
          <w:color w:val="auto"/>
          <w:sz w:val="22"/>
          <w:szCs w:val="18"/>
        </w:rPr>
        <w:t xml:space="preserve"> da Magic Formula no mercado </w:t>
      </w:r>
      <w:proofErr w:type="gramStart"/>
      <w:r w:rsidRPr="00FA6E2E">
        <w:rPr>
          <w:rFonts w:ascii="Times New Roman" w:hAnsi="Times New Roman" w:cs="Times New Roman"/>
          <w:color w:val="auto"/>
          <w:sz w:val="22"/>
          <w:szCs w:val="18"/>
        </w:rPr>
        <w:t>Americano</w:t>
      </w:r>
      <w:proofErr w:type="gramEnd"/>
    </w:p>
    <w:p w14:paraId="233146A5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6A55AC2E" w14:textId="346FEDB3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Assim que compreendemos o quão simples é a Magic Formula e como ela realmente pode trazer bons resultados no longo prazo e bater o mercado, só nos restava compreender qual era a mecânica do modelo e aplicar isso com os dados do Brasil.</w:t>
      </w:r>
    </w:p>
    <w:p w14:paraId="0B2D037B" w14:textId="58EB363C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O cerne da estratégia baseia-se em criar um ranking mensal com as melhores ações de acordo com os seguintes critérios:</w:t>
      </w:r>
    </w:p>
    <w:p w14:paraId="2FE5EE12" w14:textId="21747158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b/>
          <w:bCs/>
          <w:color w:val="auto"/>
          <w:sz w:val="24"/>
          <w:szCs w:val="20"/>
        </w:rPr>
        <w:t xml:space="preserve">1) </w:t>
      </w:r>
      <w:proofErr w:type="spellStart"/>
      <w:r w:rsidRPr="00FA6E2E">
        <w:rPr>
          <w:rFonts w:ascii="Times New Roman" w:hAnsi="Times New Roman" w:cs="Times New Roman"/>
          <w:b/>
          <w:bCs/>
          <w:color w:val="auto"/>
          <w:sz w:val="24"/>
          <w:szCs w:val="20"/>
        </w:rPr>
        <w:t>Deesconto</w:t>
      </w:r>
      <w:proofErr w:type="spellEnd"/>
      <w:r w:rsidRPr="00FA6E2E">
        <w:rPr>
          <w:rFonts w:ascii="Times New Roman" w:hAnsi="Times New Roman" w:cs="Times New Roman"/>
          <w:b/>
          <w:bCs/>
          <w:color w:val="auto"/>
          <w:sz w:val="24"/>
          <w:szCs w:val="20"/>
        </w:rPr>
        <w:t xml:space="preserve"> sobre o preço de mercado para empresas com operação rentável</w:t>
      </w:r>
    </w:p>
    <w:p w14:paraId="2C11FD0F" w14:textId="528C909C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Mesmo que o mercado seja eficiente na maior parte do tempo, divergências de Preço </w:t>
      </w:r>
      <w:proofErr w:type="gramStart"/>
      <w:r w:rsidRPr="00FA6E2E">
        <w:rPr>
          <w:rFonts w:ascii="Times New Roman" w:hAnsi="Times New Roman" w:cs="Times New Roman"/>
          <w:color w:val="auto"/>
          <w:sz w:val="24"/>
          <w:szCs w:val="20"/>
        </w:rPr>
        <w:t>x Valor existem</w:t>
      </w:r>
      <w:proofErr w:type="gramEnd"/>
      <w:r w:rsidRPr="00FA6E2E">
        <w:rPr>
          <w:rFonts w:ascii="Times New Roman" w:hAnsi="Times New Roman" w:cs="Times New Roman"/>
          <w:color w:val="auto"/>
          <w:sz w:val="24"/>
          <w:szCs w:val="20"/>
        </w:rPr>
        <w:t>, e a Magic Formula adota como um fator positivo ações que estejam em um nível atrativo, para isso utilizamos o índice EBIT/EV, assim vamos conseguir colocar em uma classificação as empresas com a maior geração de caixa operacional (EBIT) em relação ao seu valor de firma.</w:t>
      </w:r>
    </w:p>
    <w:p w14:paraId="39861C3D" w14:textId="4925F8EC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Para isso utilizamos os dados de EV/EBIT e invertemos para obter o EBIT/EV, de forma que quanto maior o indicador, melhor a posição em nosso ranking.</w:t>
      </w:r>
    </w:p>
    <w:p w14:paraId="5F98297E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666B1A80" w14:textId="7A7E306C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b/>
          <w:bCs/>
          <w:color w:val="auto"/>
          <w:sz w:val="24"/>
          <w:szCs w:val="20"/>
        </w:rPr>
        <w:lastRenderedPageBreak/>
        <w:t>2) Rentabilidade sobre o capital</w:t>
      </w:r>
    </w:p>
    <w:p w14:paraId="1E0FF569" w14:textId="56149060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Podemos definir o ROIC como sendo o indicador de qualidade de nossa fórmula, enquanto o EBIT/EV seria o indicador de preço, o ROIC é calculado pelo lucro operacional (EBIT) dividido pelo valor total dos ativos fixos (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Property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, Plant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and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Equipment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) e o NWC (Net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Working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Capital).</w:t>
      </w:r>
    </w:p>
    <w:p w14:paraId="5DB3EEE5" w14:textId="6DF39780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Essa forma de definir os ativos é utilizada a partir das regras do próprio livro, buscando assim isolar apenas os ativos que produzem lucros operacionais, ao invés da clássica soma de Dívida +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Equity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>.</w:t>
      </w:r>
    </w:p>
    <w:p w14:paraId="766C0321" w14:textId="35080788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Existem algumas outras considerações que o livro propõe, porém não as consideramos para efeito de otimização no mercado brasileiro.</w:t>
      </w:r>
    </w:p>
    <w:p w14:paraId="0C62DE67" w14:textId="1015B3F7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Primeiramente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Greenblatt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sugere que não sejam incluídos os setores Financeiro e de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Utilities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>, além de definir um capital mínimo e volume de negociação, tendo em vista a limitação em questão de quantidade de empresas, decidimos manter essas regras fora do modelo.</w:t>
      </w:r>
    </w:p>
    <w:p w14:paraId="2866AA7C" w14:textId="47FAC5AC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Entre julho de 2003 e dezembro de 2015, a Magic Formula retornou anualmente 11.4% com um índice Sharp de 0.6, contra 8.7% ao ano do S&amp;P500 e um índice Sharpe de 0.54. Isso nos mostra duas coisas, primeiro que a fórmula teve um alpha de 3% contra o benchmark, porém abaixo do que o primeiro portfólio feito por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Greenblatt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, isso acontece devido a criação de </w:t>
      </w:r>
      <w:proofErr w:type="spellStart"/>
      <w:r w:rsidRPr="00FA6E2E">
        <w:rPr>
          <w:rFonts w:ascii="Times New Roman" w:hAnsi="Times New Roman" w:cs="Times New Roman"/>
          <w:color w:val="auto"/>
          <w:sz w:val="24"/>
          <w:szCs w:val="20"/>
        </w:rPr>
        <w:t>ETFs</w:t>
      </w:r>
      <w:proofErr w:type="spellEnd"/>
      <w:r w:rsidRPr="00FA6E2E">
        <w:rPr>
          <w:rFonts w:ascii="Times New Roman" w:hAnsi="Times New Roman" w:cs="Times New Roman"/>
          <w:color w:val="auto"/>
          <w:sz w:val="24"/>
          <w:szCs w:val="20"/>
        </w:rPr>
        <w:t xml:space="preserve"> que replicam estratégias quantitativas como essa, corrigindo a ineficiência do mercado e diminuindo as diferenças de Preço x Valor que geram os lucros expressivos no mercado de Ações.</w:t>
      </w:r>
    </w:p>
    <w:p w14:paraId="3928E64F" w14:textId="49CAE9D0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Tendo todos esses pontos em vista, desde a teoria de como a escolha de empresas rentáveis e baratas, pode trazer um retorno acima da média com ações até a própria mecânica de como devemos calcular o ranking com base em rentabilidade e preços baixos.</w:t>
      </w:r>
    </w:p>
    <w:p w14:paraId="7B74FC27" w14:textId="71183C36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Por fim ficou claro que nosso universo deveria ser o Brasil, um mercado mais recente, mais limitado e mesmo com uma distribuição de empresas e setores totalmente diferente do S&amp;P, poderíamos obter um retorno sobre a ineficiência local selecionando as melhores empresas sistematicamente.</w:t>
      </w:r>
    </w:p>
    <w:p w14:paraId="4AEB71DC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1A056DE2" w14:textId="7D160766" w:rsidR="00FA6E2E" w:rsidRDefault="00FA6E2E" w:rsidP="00FA6E2E">
      <w:pPr>
        <w:spacing w:after="200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E24DF6">
        <w:rPr>
          <w:noProof/>
          <w:sz w:val="24"/>
          <w:szCs w:val="24"/>
        </w:rPr>
        <w:drawing>
          <wp:inline distT="0" distB="0" distL="0" distR="0" wp14:anchorId="5126C8B8" wp14:editId="57EF0DA3">
            <wp:extent cx="3782512" cy="2238375"/>
            <wp:effectExtent l="0" t="0" r="8890" b="0"/>
            <wp:docPr id="632338323" name="Imagem 3" descr="S&amp;P 500: conheça o índice das maiores empresas americ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&amp;P 500: conheça o índice das maiores empresas american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76" cy="226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85E3" w14:textId="6183A3E2" w:rsidR="00FA6E2E" w:rsidRDefault="00FA6E2E" w:rsidP="00FA6E2E">
      <w:pPr>
        <w:spacing w:after="200"/>
        <w:jc w:val="center"/>
        <w:rPr>
          <w:rFonts w:ascii="Times New Roman" w:hAnsi="Times New Roman" w:cs="Times New Roman"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 xml:space="preserve">Figura 2 – Comparação Setorial IBOV </w:t>
      </w:r>
      <w:proofErr w:type="spellStart"/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>vs</w:t>
      </w:r>
      <w:proofErr w:type="spellEnd"/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 xml:space="preserve"> S&amp;P</w:t>
      </w:r>
    </w:p>
    <w:p w14:paraId="49558A95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5FE3B813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3D8D9FF5" w14:textId="77777777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5C82075D" w14:textId="20F4FC70" w:rsidR="00FA6E2E" w:rsidRDefault="00FA6E2E" w:rsidP="00FA6E2E">
      <w:pPr>
        <w:spacing w:after="200"/>
        <w:jc w:val="center"/>
        <w:rPr>
          <w:rFonts w:ascii="Times New Roman" w:hAnsi="Times New Roman" w:cs="Times New Roman"/>
          <w:color w:val="auto"/>
          <w:sz w:val="24"/>
          <w:szCs w:val="20"/>
        </w:rPr>
      </w:pPr>
      <w:r w:rsidRPr="00E24DF6">
        <w:rPr>
          <w:noProof/>
          <w:sz w:val="24"/>
          <w:szCs w:val="24"/>
        </w:rPr>
        <w:drawing>
          <wp:inline distT="0" distB="0" distL="0" distR="0" wp14:anchorId="718508FC" wp14:editId="17B6A383">
            <wp:extent cx="3790950" cy="1903118"/>
            <wp:effectExtent l="0" t="0" r="0" b="1905"/>
            <wp:docPr id="1877052923" name="Imagem 4" descr="S&amp;P 500 x Iboves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&amp;P 500 x Ibovesp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5" cy="19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8C0F" w14:textId="21BD3982" w:rsidR="00FA6E2E" w:rsidRDefault="00FA6E2E" w:rsidP="00FA6E2E">
      <w:pPr>
        <w:spacing w:after="200"/>
        <w:jc w:val="center"/>
        <w:rPr>
          <w:rFonts w:ascii="Times New Roman" w:hAnsi="Times New Roman" w:cs="Times New Roman"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 xml:space="preserve">Figura 3 – Concentração das maiores posições do IBOV </w:t>
      </w:r>
      <w:proofErr w:type="spellStart"/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>vs</w:t>
      </w:r>
      <w:proofErr w:type="spellEnd"/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 xml:space="preserve"> S&amp;P</w:t>
      </w:r>
    </w:p>
    <w:p w14:paraId="38B15F19" w14:textId="7681D909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b/>
          <w:bCs/>
          <w:color w:val="auto"/>
          <w:sz w:val="24"/>
          <w:szCs w:val="20"/>
        </w:rPr>
        <w:t>Implementação da Estratégia</w:t>
      </w:r>
    </w:p>
    <w:p w14:paraId="3AFAC344" w14:textId="6E702999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Agora que já temos o racional da estratégia, vamos para a implementação, a primeira etapa será coletar os dados necessários e chegar em uma tabela final com tudo consolidado, os dados a serem coletados são os seguintes:</w:t>
      </w:r>
    </w:p>
    <w:p w14:paraId="4121D255" w14:textId="77777777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  <w:t>DATA</w:t>
      </w:r>
    </w:p>
    <w:p w14:paraId="498EDD6C" w14:textId="77777777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  <w:t>TICKER</w:t>
      </w:r>
    </w:p>
    <w:p w14:paraId="08D14A36" w14:textId="77777777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  <w:t>PREÇO DE FECHAMENTO</w:t>
      </w:r>
    </w:p>
    <w:p w14:paraId="6018A227" w14:textId="77777777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  <w:t>EBIT/EV</w:t>
      </w:r>
    </w:p>
    <w:p w14:paraId="39BEC8AE" w14:textId="5FF8D22F" w:rsidR="00FA6E2E" w:rsidRPr="00FA6E2E" w:rsidRDefault="00FA6E2E" w:rsidP="00FA6E2E">
      <w:pPr>
        <w:spacing w:after="200"/>
        <w:jc w:val="both"/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b/>
          <w:bCs/>
          <w:i/>
          <w:iCs/>
          <w:color w:val="auto"/>
          <w:sz w:val="22"/>
          <w:szCs w:val="18"/>
        </w:rPr>
        <w:t>IBOV</w:t>
      </w:r>
    </w:p>
    <w:p w14:paraId="1E4BD993" w14:textId="6239F1AD" w:rsidR="003A5C89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A6E2E">
        <w:rPr>
          <w:rFonts w:ascii="Times New Roman" w:hAnsi="Times New Roman" w:cs="Times New Roman"/>
          <w:color w:val="auto"/>
          <w:sz w:val="24"/>
          <w:szCs w:val="20"/>
        </w:rPr>
        <w:t>A tabela que vamos chegar ao final de todo esse processo de coleta e tratamento de dados deve ser a seguinte, com todas as informações acima mensalmente no último dia do mês, que é como vamos calcular os rankings de forma mensal e rodar a carteira, mantendo as vencedoras e retirando as perdedoras com base na classificação, mantendo sempre o padrão de 10% de peso para cada posição.</w:t>
      </w:r>
    </w:p>
    <w:p w14:paraId="22970270" w14:textId="414CA2B3" w:rsidR="00FA6E2E" w:rsidRDefault="00FA6E2E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E24DF6">
        <w:rPr>
          <w:noProof/>
          <w:sz w:val="24"/>
          <w:szCs w:val="24"/>
        </w:rPr>
        <w:drawing>
          <wp:inline distT="0" distB="0" distL="0" distR="0" wp14:anchorId="340A849F" wp14:editId="77AAC531">
            <wp:extent cx="6097270" cy="825515"/>
            <wp:effectExtent l="0" t="0" r="0" b="0"/>
            <wp:docPr id="180617587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5870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8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CBB" w14:textId="11C8C118" w:rsidR="003A5C89" w:rsidRDefault="00FA6E2E" w:rsidP="003A5C89">
      <w:pPr>
        <w:spacing w:after="200"/>
        <w:jc w:val="center"/>
        <w:rPr>
          <w:rFonts w:ascii="Times New Roman" w:hAnsi="Times New Roman" w:cs="Times New Roman"/>
          <w:i/>
          <w:iCs/>
          <w:color w:val="auto"/>
          <w:sz w:val="22"/>
          <w:szCs w:val="18"/>
        </w:rPr>
      </w:pPr>
      <w:r w:rsidRPr="00FA6E2E">
        <w:rPr>
          <w:rFonts w:ascii="Times New Roman" w:hAnsi="Times New Roman" w:cs="Times New Roman"/>
          <w:i/>
          <w:iCs/>
          <w:color w:val="auto"/>
          <w:sz w:val="22"/>
          <w:szCs w:val="18"/>
        </w:rPr>
        <w:t>Figura 4 – Exemplo de tabela completa</w:t>
      </w:r>
    </w:p>
    <w:p w14:paraId="749B6EB3" w14:textId="2149BAF5" w:rsidR="00FA6E2E" w:rsidRDefault="00FE0868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t>Agora que já sabemos quais dados precisamos coletar, fomos a prática, utilizamos a API FINTZ, nela conseguimos coletar os dados de preços e indicadores diariamente, no caminhar dessa jornada, enfrentamos alguns desafios de tratamento de dados, que vamos entender melhor a partir de agora.</w:t>
      </w:r>
    </w:p>
    <w:p w14:paraId="2A0F2054" w14:textId="36D367A0" w:rsidR="00FE0868" w:rsidRDefault="00FE0868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t>O primeiro desafio era manter somente as datas de último dia do mês para todos os indicadores, tínhamos um arquivo por indicador e um para as cotas, que recebemos como retorno da API, assim desenvolvemos um código em Python para realizar esse filtro (filtra_data.py).</w:t>
      </w:r>
    </w:p>
    <w:p w14:paraId="6575AC36" w14:textId="77777777" w:rsidR="00FE0868" w:rsidRDefault="00FE0868" w:rsidP="00FA6E2E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</w:p>
    <w:p w14:paraId="4ABBF8BC" w14:textId="3A4EEF7F" w:rsidR="00FE0868" w:rsidRPr="00FE0868" w:rsidRDefault="00FE0868" w:rsidP="00FE0868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lastRenderedPageBreak/>
        <w:t>Feito esse filtro, agora tínhamos um novo desafio, juntar todos esses dados, para isso criamos uma função em Python (junta_dados.py) e através do merge, conseguimos juntar todos os indicadores e os preços em uma só base de dados.</w:t>
      </w:r>
    </w:p>
    <w:p w14:paraId="0B2C1AA8" w14:textId="0146A492" w:rsidR="00FE0868" w:rsidRPr="00FE0868" w:rsidRDefault="00FE0868" w:rsidP="00FE0868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t>Agora com todos os dados conectados e com somente o último dia de cada mês, estávamos com tudo pronto para iniciar definitivamente a implementação do modelo, porém durante uma validação de dados, verificamos que diversas empresas tinham buracos de preços na base de dados e para fins de simplificação, resolvemos retirar essas empresas da base pois esses buracos de informação distorciam toda a análise, e para isso utilizamos a nossa função (filtra_vazios.py).</w:t>
      </w:r>
    </w:p>
    <w:p w14:paraId="5505D397" w14:textId="0E2428D1" w:rsidR="00FE0868" w:rsidRPr="00FE0868" w:rsidRDefault="00FE0868" w:rsidP="00FE0868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t>Uma última transformação que fizemos foi ajustar o indicador EV/EBIT para EBIT/EV, fazendo 1/ (EV/EBIT) para que assim possamos analisar de forma padronizada esse indicador junto com o ROIC, de forma que quanto maior, mais alta a posição no Ranking.</w:t>
      </w:r>
    </w:p>
    <w:p w14:paraId="705AB410" w14:textId="5B933B18" w:rsidR="00FE0868" w:rsidRDefault="00FE0868" w:rsidP="00FE0868">
      <w:pPr>
        <w:spacing w:after="200"/>
        <w:jc w:val="both"/>
        <w:rPr>
          <w:rFonts w:ascii="Times New Roman" w:hAnsi="Times New Roman" w:cs="Times New Roman"/>
          <w:color w:val="auto"/>
          <w:sz w:val="24"/>
          <w:szCs w:val="20"/>
        </w:rPr>
      </w:pPr>
      <w:r w:rsidRPr="00FE0868">
        <w:rPr>
          <w:rFonts w:ascii="Times New Roman" w:hAnsi="Times New Roman" w:cs="Times New Roman"/>
          <w:color w:val="auto"/>
          <w:sz w:val="24"/>
          <w:szCs w:val="20"/>
        </w:rPr>
        <w:t>Finalmente com a base de dados completa e tratada, podíamos implementar a Magic Formula no mercado brasileiro, sendo assim, dentro de nosso código em Python (Main.py) executamos as seguintes etapas:</w:t>
      </w:r>
    </w:p>
    <w:p w14:paraId="73DFE773" w14:textId="2895DDE8" w:rsidR="00FE0868" w:rsidRPr="00FE0868" w:rsidRDefault="00FE0868" w:rsidP="00FE086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8E6596">
        <w:rPr>
          <w:sz w:val="24"/>
          <w:szCs w:val="24"/>
        </w:rPr>
        <w:t>Inserir as bibliotecas e dados</w:t>
      </w:r>
    </w:p>
    <w:p w14:paraId="3C37290C" w14:textId="77777777" w:rsidR="00FE0868" w:rsidRDefault="00FE0868" w:rsidP="00FE0868">
      <w:pPr>
        <w:pStyle w:val="PargrafodaLista"/>
        <w:jc w:val="both"/>
        <w:rPr>
          <w:sz w:val="24"/>
          <w:szCs w:val="24"/>
        </w:rPr>
      </w:pPr>
    </w:p>
    <w:p w14:paraId="2B2E9324" w14:textId="77777777" w:rsidR="00FE0868" w:rsidRDefault="00FE0868" w:rsidP="00FE086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Calcular o retorno mensal por empresa mês a mês</w:t>
      </w:r>
    </w:p>
    <w:p w14:paraId="34CFA77E" w14:textId="77777777" w:rsidR="00FE0868" w:rsidRPr="008E6596" w:rsidRDefault="00FE0868" w:rsidP="00FE0868">
      <w:pPr>
        <w:jc w:val="both"/>
        <w:rPr>
          <w:sz w:val="24"/>
          <w:szCs w:val="24"/>
        </w:rPr>
      </w:pPr>
    </w:p>
    <w:p w14:paraId="1D595754" w14:textId="77777777" w:rsidR="00FE0868" w:rsidRPr="00FE0868" w:rsidRDefault="00FE0868" w:rsidP="00FE0868">
      <w:pPr>
        <w:pStyle w:val="PargrafodaLista"/>
        <w:numPr>
          <w:ilvl w:val="0"/>
          <w:numId w:val="1"/>
        </w:numPr>
        <w:jc w:val="both"/>
        <w:rPr>
          <w:sz w:val="32"/>
          <w:szCs w:val="32"/>
        </w:rPr>
      </w:pPr>
      <w:r w:rsidRPr="00E24DF6">
        <w:rPr>
          <w:sz w:val="24"/>
          <w:szCs w:val="24"/>
        </w:rPr>
        <w:t>Criar um ranking considerando o ROIC</w:t>
      </w:r>
      <w:r>
        <w:rPr>
          <w:sz w:val="24"/>
          <w:szCs w:val="24"/>
        </w:rPr>
        <w:t xml:space="preserve"> o EBIT</w:t>
      </w:r>
      <w:r w:rsidRPr="00E24DF6">
        <w:rPr>
          <w:sz w:val="24"/>
          <w:szCs w:val="24"/>
        </w:rPr>
        <w:t>/</w:t>
      </w:r>
      <w:r>
        <w:rPr>
          <w:sz w:val="24"/>
          <w:szCs w:val="24"/>
        </w:rPr>
        <w:t>EV</w:t>
      </w:r>
    </w:p>
    <w:p w14:paraId="73074FAD" w14:textId="77777777" w:rsidR="00FE0868" w:rsidRPr="00FE0868" w:rsidRDefault="00FE0868" w:rsidP="00FE0868">
      <w:pPr>
        <w:pStyle w:val="PargrafodaLista"/>
        <w:rPr>
          <w:sz w:val="32"/>
          <w:szCs w:val="32"/>
        </w:rPr>
      </w:pPr>
    </w:p>
    <w:p w14:paraId="355C5C96" w14:textId="3358C0B5" w:rsidR="00FE0868" w:rsidRDefault="00FE0868" w:rsidP="00FE0868">
      <w:pPr>
        <w:ind w:left="360"/>
        <w:jc w:val="both"/>
        <w:rPr>
          <w:sz w:val="32"/>
          <w:szCs w:val="32"/>
        </w:rPr>
      </w:pPr>
      <w:r w:rsidRPr="008E6596">
        <w:rPr>
          <w:noProof/>
          <w:sz w:val="32"/>
          <w:szCs w:val="32"/>
        </w:rPr>
        <w:drawing>
          <wp:inline distT="0" distB="0" distL="0" distR="0" wp14:anchorId="08D19A18" wp14:editId="2DD12FFF">
            <wp:extent cx="5827001" cy="1956122"/>
            <wp:effectExtent l="0" t="0" r="2540" b="6350"/>
            <wp:docPr id="174533705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7056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221" cy="1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D60" w14:textId="10B843E9" w:rsidR="00FE0868" w:rsidRDefault="00FE0868" w:rsidP="00FE0868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>
        <w:rPr>
          <w:rFonts w:ascii="Times New Roman" w:hAnsi="Times New Roman" w:cs="Times New Roman"/>
          <w:i/>
          <w:iCs/>
          <w:color w:val="auto"/>
          <w:sz w:val="22"/>
        </w:rPr>
        <w:t>Figura 5 – Ranking Modelo</w:t>
      </w:r>
    </w:p>
    <w:p w14:paraId="7C4D6210" w14:textId="77777777" w:rsidR="00FE0868" w:rsidRDefault="00FE0868" w:rsidP="00FE0868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</w:p>
    <w:p w14:paraId="238A2E22" w14:textId="493BEF45" w:rsidR="00FE0868" w:rsidRPr="00FE0868" w:rsidRDefault="00FE0868" w:rsidP="00FE0868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E0868">
        <w:rPr>
          <w:sz w:val="24"/>
          <w:szCs w:val="24"/>
        </w:rPr>
        <w:t>Criar as carteiras mensais com as 10 melhores ações de acordo com o modelo</w:t>
      </w:r>
    </w:p>
    <w:p w14:paraId="2AC96F68" w14:textId="77777777" w:rsidR="00FE0868" w:rsidRDefault="00FE0868" w:rsidP="00FE0868">
      <w:pPr>
        <w:ind w:left="360"/>
        <w:rPr>
          <w:sz w:val="24"/>
          <w:szCs w:val="24"/>
        </w:rPr>
      </w:pPr>
    </w:p>
    <w:p w14:paraId="45F8F93D" w14:textId="7B7E6908" w:rsidR="00FE0868" w:rsidRDefault="00FE0868" w:rsidP="00FE0868">
      <w:pPr>
        <w:ind w:left="360"/>
        <w:rPr>
          <w:sz w:val="24"/>
          <w:szCs w:val="24"/>
        </w:rPr>
      </w:pPr>
      <w:r w:rsidRPr="008E6596">
        <w:rPr>
          <w:noProof/>
        </w:rPr>
        <w:drawing>
          <wp:inline distT="0" distB="0" distL="0" distR="0" wp14:anchorId="3B9049DF" wp14:editId="7BFE70F6">
            <wp:extent cx="5787342" cy="1964243"/>
            <wp:effectExtent l="0" t="0" r="4445" b="0"/>
            <wp:docPr id="130732539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5399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738" cy="1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120" w14:textId="76C9420F" w:rsidR="00FE0868" w:rsidRDefault="00FE0868" w:rsidP="00FE0868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>
        <w:rPr>
          <w:rFonts w:ascii="Times New Roman" w:hAnsi="Times New Roman" w:cs="Times New Roman"/>
          <w:i/>
          <w:iCs/>
          <w:color w:val="auto"/>
          <w:sz w:val="22"/>
        </w:rPr>
        <w:t>Figura 6 – Exemplo de carteira</w:t>
      </w:r>
    </w:p>
    <w:p w14:paraId="57AC1986" w14:textId="47B6A95E" w:rsidR="00FE0868" w:rsidRDefault="00FE0868" w:rsidP="00FE086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Calcular a rentabilidade mensal das carteiras</w:t>
      </w:r>
    </w:p>
    <w:p w14:paraId="19B5701E" w14:textId="77777777" w:rsidR="00FE0868" w:rsidRDefault="00FE0868" w:rsidP="00FE0868">
      <w:pPr>
        <w:pStyle w:val="PargrafodaLista"/>
        <w:jc w:val="both"/>
        <w:rPr>
          <w:sz w:val="24"/>
          <w:szCs w:val="24"/>
        </w:rPr>
      </w:pPr>
    </w:p>
    <w:p w14:paraId="369C1D71" w14:textId="20A2E187" w:rsidR="00FE0868" w:rsidRDefault="00FE0868" w:rsidP="00FE086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Calcular a rentabilidade acumulada do modelo</w:t>
      </w:r>
    </w:p>
    <w:p w14:paraId="496EC528" w14:textId="77777777" w:rsidR="00FE0868" w:rsidRPr="00FE0868" w:rsidRDefault="00FE0868" w:rsidP="00FE0868">
      <w:pPr>
        <w:pStyle w:val="PargrafodaLista"/>
        <w:rPr>
          <w:sz w:val="24"/>
          <w:szCs w:val="24"/>
        </w:rPr>
      </w:pPr>
    </w:p>
    <w:p w14:paraId="2CB61304" w14:textId="6004435D" w:rsidR="00096EBD" w:rsidRDefault="00FE0868" w:rsidP="00096EB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9667B">
        <w:rPr>
          <w:noProof/>
          <w:sz w:val="24"/>
          <w:szCs w:val="24"/>
        </w:rPr>
        <w:drawing>
          <wp:inline distT="0" distB="0" distL="0" distR="0" wp14:anchorId="4A962138" wp14:editId="10A50C9B">
            <wp:extent cx="5905626" cy="3657600"/>
            <wp:effectExtent l="0" t="0" r="0" b="0"/>
            <wp:docPr id="202974570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5705" name="Imagem 1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702" cy="36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3E37" w14:textId="1EBE7E96" w:rsidR="00096EBD" w:rsidRPr="00096EBD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>
        <w:rPr>
          <w:rFonts w:ascii="Times New Roman" w:hAnsi="Times New Roman" w:cs="Times New Roman"/>
          <w:i/>
          <w:iCs/>
          <w:color w:val="auto"/>
          <w:sz w:val="22"/>
        </w:rPr>
        <w:t>Figura 7 – Multiplicação do Patrimônio Investido pelo Modelo</w:t>
      </w:r>
    </w:p>
    <w:p w14:paraId="0583B497" w14:textId="77777777" w:rsidR="00FE0868" w:rsidRDefault="00FE0868" w:rsidP="00FE086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4F907A" w14:textId="77777777" w:rsidR="00FE0868" w:rsidRPr="00FE0868" w:rsidRDefault="00FE0868" w:rsidP="00FE0868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E0868">
        <w:rPr>
          <w:sz w:val="24"/>
          <w:szCs w:val="24"/>
        </w:rPr>
        <w:t>Coletar dados do IBOVESPA e calcular sua rentabilidade no mesmo período</w:t>
      </w:r>
    </w:p>
    <w:p w14:paraId="2CE3C9AA" w14:textId="6A6213BE" w:rsidR="00FE0868" w:rsidRDefault="00FE0868" w:rsidP="00FE0868">
      <w:pPr>
        <w:ind w:left="360"/>
        <w:jc w:val="both"/>
        <w:rPr>
          <w:sz w:val="24"/>
          <w:szCs w:val="24"/>
        </w:rPr>
      </w:pPr>
    </w:p>
    <w:p w14:paraId="416FC1A8" w14:textId="0621F2A0" w:rsidR="00FE0868" w:rsidRDefault="00FE0868" w:rsidP="00FE0868">
      <w:pPr>
        <w:ind w:left="360"/>
        <w:jc w:val="both"/>
        <w:rPr>
          <w:sz w:val="24"/>
          <w:szCs w:val="24"/>
        </w:rPr>
      </w:pPr>
      <w:r w:rsidRPr="00E53AC6">
        <w:rPr>
          <w:noProof/>
          <w:sz w:val="24"/>
          <w:szCs w:val="24"/>
        </w:rPr>
        <w:drawing>
          <wp:inline distT="0" distB="0" distL="0" distR="0" wp14:anchorId="5F65992C" wp14:editId="4F8BA5B3">
            <wp:extent cx="5990889" cy="3727048"/>
            <wp:effectExtent l="0" t="0" r="0" b="6985"/>
            <wp:docPr id="81949672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6726" name="Imagem 1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425" cy="37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7EF0" w14:textId="493AE34F" w:rsidR="00096EBD" w:rsidRPr="00096EBD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>
        <w:rPr>
          <w:rFonts w:ascii="Times New Roman" w:hAnsi="Times New Roman" w:cs="Times New Roman"/>
          <w:i/>
          <w:iCs/>
          <w:color w:val="auto"/>
          <w:sz w:val="22"/>
        </w:rPr>
        <w:t>Figura 8 – Multiplicação do Patrimônio Modelo x Ibovespa</w:t>
      </w:r>
    </w:p>
    <w:p w14:paraId="4D9598B7" w14:textId="77777777" w:rsidR="00FE0868" w:rsidRDefault="00FE0868" w:rsidP="00FE0868">
      <w:pPr>
        <w:pStyle w:val="PargrafodaLista"/>
        <w:rPr>
          <w:sz w:val="24"/>
          <w:szCs w:val="24"/>
        </w:rPr>
      </w:pPr>
    </w:p>
    <w:p w14:paraId="47548588" w14:textId="77777777" w:rsidR="00FE0868" w:rsidRPr="00096EBD" w:rsidRDefault="00FE0868" w:rsidP="00096EBD">
      <w:pPr>
        <w:rPr>
          <w:sz w:val="24"/>
          <w:szCs w:val="24"/>
        </w:rPr>
      </w:pPr>
    </w:p>
    <w:p w14:paraId="0A803BA5" w14:textId="73713E30" w:rsidR="00FE0868" w:rsidRDefault="00FE0868" w:rsidP="00FE086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Analisar os Resultados</w:t>
      </w:r>
    </w:p>
    <w:p w14:paraId="6DFB8828" w14:textId="77777777" w:rsidR="00FE0868" w:rsidRDefault="00FE0868" w:rsidP="00FE0868">
      <w:pPr>
        <w:ind w:left="360"/>
        <w:rPr>
          <w:sz w:val="24"/>
          <w:szCs w:val="24"/>
        </w:rPr>
      </w:pPr>
    </w:p>
    <w:p w14:paraId="5D20A554" w14:textId="19326054" w:rsidR="00FE0868" w:rsidRPr="00FE0868" w:rsidRDefault="00FE0868" w:rsidP="00FE0868">
      <w:pPr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r w:rsidRPr="00FE0868">
        <w:rPr>
          <w:rFonts w:ascii="Times New Roman" w:hAnsi="Times New Roman" w:cs="Times New Roman"/>
          <w:color w:val="auto"/>
          <w:sz w:val="24"/>
          <w:szCs w:val="24"/>
        </w:rPr>
        <w:t>Primeiramente calculamos a rentabilidade anual do nosso modelo, considerando que a última carteira fechada foi a de 18/10/2023:</w:t>
      </w:r>
    </w:p>
    <w:p w14:paraId="34918484" w14:textId="77777777" w:rsidR="00FE0868" w:rsidRDefault="00FE0868" w:rsidP="00FE0868">
      <w:pPr>
        <w:ind w:left="360"/>
        <w:jc w:val="both"/>
        <w:rPr>
          <w:sz w:val="24"/>
          <w:szCs w:val="24"/>
        </w:rPr>
      </w:pPr>
    </w:p>
    <w:p w14:paraId="51E17630" w14:textId="14424FDD" w:rsidR="00FE0868" w:rsidRDefault="00FE0868" w:rsidP="00FE0868">
      <w:pPr>
        <w:ind w:left="360"/>
        <w:jc w:val="both"/>
        <w:rPr>
          <w:sz w:val="24"/>
          <w:szCs w:val="24"/>
        </w:rPr>
      </w:pPr>
      <w:r w:rsidRPr="00E53AC6">
        <w:rPr>
          <w:noProof/>
          <w:sz w:val="24"/>
          <w:szCs w:val="24"/>
        </w:rPr>
        <w:drawing>
          <wp:inline distT="0" distB="0" distL="0" distR="0" wp14:anchorId="4EFE8236" wp14:editId="5AD26C7C">
            <wp:extent cx="5567423" cy="860317"/>
            <wp:effectExtent l="0" t="0" r="0" b="0"/>
            <wp:docPr id="11515403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34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1616" cy="8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7339" w14:textId="3EBD3678" w:rsidR="00096EBD" w:rsidRPr="00096EBD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>
        <w:rPr>
          <w:rFonts w:ascii="Times New Roman" w:hAnsi="Times New Roman" w:cs="Times New Roman"/>
          <w:i/>
          <w:iCs/>
          <w:color w:val="auto"/>
          <w:sz w:val="22"/>
        </w:rPr>
        <w:t>Figura 9 – Cálculo da Rentabilidade Anualizada</w:t>
      </w:r>
    </w:p>
    <w:p w14:paraId="610ACD25" w14:textId="77777777" w:rsidR="00FE0868" w:rsidRDefault="00FE0868" w:rsidP="00FE0868">
      <w:pPr>
        <w:ind w:left="360"/>
        <w:jc w:val="both"/>
        <w:rPr>
          <w:sz w:val="24"/>
          <w:szCs w:val="24"/>
        </w:rPr>
      </w:pPr>
    </w:p>
    <w:p w14:paraId="750521A4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>Com isso podemos verificar que o modelo da Magic Formula aplicado ao mercado brasileiro teve um retorno de 30% ao ano em média, superando assim o benchmark IBOV.</w:t>
      </w:r>
    </w:p>
    <w:p w14:paraId="60E88829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6973138" w14:textId="61480C15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>Além disso realizamos algumas visualizações em formato de Heat Map, para podemos analisar a rentabilidade em percentual acumulada desde o início da carteira contra o benchmark.</w:t>
      </w:r>
    </w:p>
    <w:p w14:paraId="7FB33F51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94AB9B7" w14:textId="4626F39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Carteira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:</w:t>
      </w:r>
    </w:p>
    <w:p w14:paraId="5CDDC9F3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6B51AD29" w14:textId="5074F32A" w:rsidR="00096EBD" w:rsidRDefault="00096EBD" w:rsidP="00096EBD">
      <w:pPr>
        <w:ind w:left="36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2C12AA">
        <w:rPr>
          <w:noProof/>
          <w:sz w:val="24"/>
          <w:szCs w:val="24"/>
          <w:lang w:val="en-US"/>
        </w:rPr>
        <w:drawing>
          <wp:inline distT="0" distB="0" distL="0" distR="0" wp14:anchorId="31A1746A" wp14:editId="432F659F">
            <wp:extent cx="6099858" cy="2869820"/>
            <wp:effectExtent l="0" t="0" r="0" b="6985"/>
            <wp:docPr id="89460606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06067" name="Imagem 1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9627" cy="29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51DC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6EB3E262" w14:textId="77777777" w:rsidR="00096EBD" w:rsidRPr="009863A1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 w:rsidRPr="009863A1">
        <w:rPr>
          <w:rFonts w:ascii="Times New Roman" w:hAnsi="Times New Roman" w:cs="Times New Roman"/>
          <w:i/>
          <w:iCs/>
          <w:color w:val="auto"/>
          <w:sz w:val="22"/>
        </w:rPr>
        <w:t>Figura 10 – Rentabilidade (%) acumulada do Modelo</w:t>
      </w:r>
    </w:p>
    <w:p w14:paraId="6639A1CB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D5E661F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0CC517B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57178DE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59E0AA41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11682B88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81B069D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004785D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60F92089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5C8B1C55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1BF3175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8066DAE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1076273" w14:textId="1ED90E4D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i/>
          <w:iCs/>
          <w:color w:val="auto"/>
          <w:sz w:val="22"/>
        </w:rPr>
      </w:pPr>
      <w:r w:rsidRPr="009863A1">
        <w:rPr>
          <w:rFonts w:ascii="Times New Roman" w:hAnsi="Times New Roman" w:cs="Times New Roman"/>
          <w:color w:val="auto"/>
          <w:sz w:val="24"/>
          <w:szCs w:val="24"/>
        </w:rPr>
        <w:t>Benchmark</w:t>
      </w:r>
      <w:r w:rsidRPr="009863A1">
        <w:rPr>
          <w:rFonts w:ascii="Times New Roman" w:hAnsi="Times New Roman" w:cs="Times New Roman"/>
          <w:i/>
          <w:iCs/>
          <w:color w:val="auto"/>
          <w:sz w:val="22"/>
        </w:rPr>
        <w:t>:</w:t>
      </w:r>
    </w:p>
    <w:p w14:paraId="019B8F3E" w14:textId="77777777" w:rsidR="00096EBD" w:rsidRPr="009863A1" w:rsidRDefault="00096EBD" w:rsidP="00096EBD">
      <w:pPr>
        <w:ind w:left="360"/>
        <w:jc w:val="both"/>
        <w:rPr>
          <w:rFonts w:ascii="Times New Roman" w:hAnsi="Times New Roman" w:cs="Times New Roman"/>
          <w:i/>
          <w:iCs/>
          <w:color w:val="auto"/>
          <w:sz w:val="22"/>
        </w:rPr>
      </w:pPr>
    </w:p>
    <w:p w14:paraId="026E9EF0" w14:textId="31DFC198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2C12AA">
        <w:rPr>
          <w:noProof/>
          <w:sz w:val="24"/>
          <w:szCs w:val="24"/>
          <w:lang w:val="en-US"/>
        </w:rPr>
        <w:drawing>
          <wp:inline distT="0" distB="0" distL="0" distR="0" wp14:anchorId="7012B5AA" wp14:editId="26A26769">
            <wp:extent cx="5920100" cy="2847373"/>
            <wp:effectExtent l="0" t="0" r="5080" b="0"/>
            <wp:docPr id="52061980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19808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5649" cy="28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EFB4" w14:textId="77777777" w:rsidR="00096EBD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</w:p>
    <w:p w14:paraId="44387823" w14:textId="351AB21E" w:rsidR="00096EBD" w:rsidRPr="00096EBD" w:rsidRDefault="00096EBD" w:rsidP="00096EBD">
      <w:pPr>
        <w:ind w:left="360"/>
        <w:jc w:val="center"/>
        <w:rPr>
          <w:rFonts w:ascii="Times New Roman" w:hAnsi="Times New Roman" w:cs="Times New Roman"/>
          <w:i/>
          <w:iCs/>
          <w:color w:val="auto"/>
          <w:sz w:val="22"/>
        </w:rPr>
      </w:pPr>
      <w:r w:rsidRPr="00096EBD">
        <w:rPr>
          <w:rFonts w:ascii="Times New Roman" w:hAnsi="Times New Roman" w:cs="Times New Roman"/>
          <w:i/>
          <w:iCs/>
          <w:color w:val="auto"/>
          <w:sz w:val="22"/>
        </w:rPr>
        <w:t>Figura 11 – Rentabilidade (%) acumulada do B</w:t>
      </w:r>
      <w:r>
        <w:rPr>
          <w:rFonts w:ascii="Times New Roman" w:hAnsi="Times New Roman" w:cs="Times New Roman"/>
          <w:i/>
          <w:iCs/>
          <w:color w:val="auto"/>
          <w:sz w:val="22"/>
        </w:rPr>
        <w:t>enchmark</w:t>
      </w:r>
    </w:p>
    <w:p w14:paraId="354C4BF0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B1664E7" w14:textId="77777777" w:rsidR="00096EBD" w:rsidRDefault="00096EBD" w:rsidP="0030349A">
      <w:pPr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6D0A359" w14:textId="7529AC5C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096EB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Conclusão</w:t>
      </w:r>
    </w:p>
    <w:p w14:paraId="2D17618E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5063E5A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Com a conclusão do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backtest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e a análise dos resultados, verificamos que a Magic Formula realmente pode gerar um Alpha no mercado brasileiro, assim como fez no mercado americano. Percebemos que um modelo totalmente sistemático é capaz de escolher boas empresas mesmo em períodos de maior volatilidade, aonde a tomada de decisão humana é comprometida devido a fatores emocionais e aversão natural ao risco.</w:t>
      </w:r>
    </w:p>
    <w:p w14:paraId="0B9304A0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2252067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Também conseguimos analisar que a Magic Formula possui um risco maior que o benchmark, principalmente em períodos de maior recessão aonde as empresas justamente se encontram em um período mais favorável para boas compras, porém o mercado acaba ficando mais cauteloso, justamente por essa tomada maior de risco o modelo consegue entregar um retorno bem superior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a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média.</w:t>
      </w:r>
    </w:p>
    <w:p w14:paraId="0558E4B1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E4A028A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Em relação ao processo de decisão de qual seria a ideia escolhida, no começo estávamos muito dispersos para escolher uma estratégia com fundamentos lógicos, que seja efetivamente lucrativa e principalmente, factível de realizar um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backtest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com os dados e conhecimentos que tínhamos, como muitos no grupo achavam interessante o mercado de ações, escolhemos a estratégia por trás do livro e iniciamos a pesquisa teórica de como funcionaria e de como poderíamos implementar.</w:t>
      </w:r>
    </w:p>
    <w:p w14:paraId="6A2F614C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A78E979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850305D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51247B8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9C8BB97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75C3D84" w14:textId="49562B52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Dentre todos os desafios do projeto, as etapas de coleta, limpeza e organização dos dados foi certamente a mais trabalhosa para o time, como os dados de preços que tínhamos disponíveis eram diários, e nossas carteiras eram mensais, precisamos primeiramente realizar esse filtro de somente dados mensais para todos os indicadores e preços, além de depois juntar tudo em uma base de dados unificada, esta que seria utilizada </w:t>
      </w:r>
      <w:proofErr w:type="gramStart"/>
      <w:r w:rsidRPr="00096EBD">
        <w:rPr>
          <w:rFonts w:ascii="Times New Roman" w:hAnsi="Times New Roman" w:cs="Times New Roman"/>
          <w:color w:val="auto"/>
          <w:sz w:val="24"/>
          <w:szCs w:val="24"/>
        </w:rPr>
        <w:t>pra</w:t>
      </w:r>
      <w:proofErr w:type="gram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rodar efetivamente o modelo.</w:t>
      </w:r>
    </w:p>
    <w:p w14:paraId="28B0FA13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8766DF7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Por fim a organização do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backtest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também foi um novo desafio para todos no grupo, principalmente em relação aos cálculos de rentabilidade e a utilização de funções para organização e tratamento de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dataframes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2656602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67074D4A" w14:textId="1FD45DC3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Para garantir a robustez do modelo e dos dados, realizamos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checks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em Python para tratamentos de buracos de preços, rentabilidades explodidas e qualquer indicativo de dado incorreto em nossa base, igualmente para as fontes de dados, buscamos utilizar os dados em somente duas bases que consideramos confiáveis, primeiramente a API da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Fintz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, e para o IBOV utilizamos a biblioteca Yahoo </w:t>
      </w:r>
      <w:proofErr w:type="spellStart"/>
      <w:r w:rsidRPr="00096EBD">
        <w:rPr>
          <w:rFonts w:ascii="Times New Roman" w:hAnsi="Times New Roman" w:cs="Times New Roman"/>
          <w:color w:val="auto"/>
          <w:sz w:val="24"/>
          <w:szCs w:val="24"/>
        </w:rPr>
        <w:t>Finance</w:t>
      </w:r>
      <w:proofErr w:type="spellEnd"/>
      <w:r w:rsidRPr="00096EBD">
        <w:rPr>
          <w:rFonts w:ascii="Times New Roman" w:hAnsi="Times New Roman" w:cs="Times New Roman"/>
          <w:color w:val="auto"/>
          <w:sz w:val="24"/>
          <w:szCs w:val="24"/>
        </w:rPr>
        <w:t xml:space="preserve"> direto no código do modelo.</w:t>
      </w:r>
    </w:p>
    <w:p w14:paraId="1E2D05AC" w14:textId="77777777" w:rsidR="00096EBD" w:rsidRP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7BB22C09" w14:textId="403F5FA4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96EBD">
        <w:rPr>
          <w:rFonts w:ascii="Times New Roman" w:hAnsi="Times New Roman" w:cs="Times New Roman"/>
          <w:color w:val="auto"/>
          <w:sz w:val="24"/>
          <w:szCs w:val="24"/>
        </w:rPr>
        <w:t>Em resumo o desafio foi muito proveitoso para todos no grupo, sendo os principais pontos a compreensão do que é um modelo quantitativo e como a mecânica funciona na prática, como coletar dados e limpá-los para serem utilizados no modelo, como trabalhar em equipe para conseguir entregar um trabalho robusto e de acordo com o que a estratégia se propõe.</w:t>
      </w:r>
    </w:p>
    <w:p w14:paraId="5E4E38BD" w14:textId="77777777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BD72C36" w14:textId="2F718EC2" w:rsidR="00096EBD" w:rsidRDefault="00096EBD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Todos os códigos utilizados no desafio estão disponíveis </w:t>
      </w:r>
      <w:r w:rsidR="00744D72">
        <w:rPr>
          <w:rFonts w:ascii="Times New Roman" w:hAnsi="Times New Roman" w:cs="Times New Roman"/>
          <w:color w:val="auto"/>
          <w:sz w:val="24"/>
          <w:szCs w:val="24"/>
        </w:rPr>
        <w:t xml:space="preserve">dentro de um repositório </w:t>
      </w:r>
      <w:proofErr w:type="spellStart"/>
      <w:r w:rsidR="00744D72">
        <w:rPr>
          <w:rFonts w:ascii="Times New Roman" w:hAnsi="Times New Roman" w:cs="Times New Roman"/>
          <w:color w:val="auto"/>
          <w:sz w:val="24"/>
          <w:szCs w:val="24"/>
        </w:rPr>
        <w:t>Git</w:t>
      </w:r>
      <w:proofErr w:type="spellEnd"/>
      <w:r w:rsidR="00744D72">
        <w:rPr>
          <w:rFonts w:ascii="Times New Roman" w:hAnsi="Times New Roman" w:cs="Times New Roman"/>
          <w:color w:val="auto"/>
          <w:sz w:val="24"/>
          <w:szCs w:val="24"/>
        </w:rPr>
        <w:t xml:space="preserve"> e podem ser disponibilizados assim que solicitados pela equipe avaliadora, eles não foram inseridos nesse relatório para preservar o anonimato proposto para fins de avaliação.</w:t>
      </w:r>
    </w:p>
    <w:p w14:paraId="35AE64E6" w14:textId="77777777" w:rsidR="00744D72" w:rsidRDefault="00744D72" w:rsidP="00096EBD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FBFE616" w14:textId="55EFDF79" w:rsidR="0030349A" w:rsidRDefault="00744D72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Existem também alguns pontos de melhoria para o projeto, entre eles estão a Automatização da Coleta e Limpeza dos Dados, </w:t>
      </w:r>
      <w:r w:rsidR="0030349A">
        <w:rPr>
          <w:rFonts w:ascii="Times New Roman" w:hAnsi="Times New Roman" w:cs="Times New Roman"/>
          <w:color w:val="auto"/>
          <w:sz w:val="24"/>
          <w:szCs w:val="24"/>
        </w:rPr>
        <w:t>Geração de Dashboards e Análises Gráficas em nuvem para análise em tempo real, Rentabilidade diária das carteiras entre outras melhorias no mecanismo de implementação da estratégia e visualização dos resultados.</w:t>
      </w:r>
    </w:p>
    <w:p w14:paraId="027674F7" w14:textId="77777777" w:rsidR="0030349A" w:rsidRDefault="0030349A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4473E42F" w14:textId="02A1F6CB" w:rsidR="0030349A" w:rsidRPr="0030349A" w:rsidRDefault="0030349A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Já para a estratégia em si, existem pontos de melhoria que podem otimizar a Magic Formula e consequentemente gerar um Alpha ainda maior. Sendo os fatores</w:t>
      </w:r>
      <w:r w:rsidRPr="0030349A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43A0A8D3" w14:textId="2137B3F7" w:rsidR="0030349A" w:rsidRDefault="0030349A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9354A08" w14:textId="22470EB1" w:rsidR="0030349A" w:rsidRPr="0030349A" w:rsidRDefault="0030349A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30349A">
        <w:rPr>
          <w:rFonts w:ascii="Times New Roman" w:hAnsi="Times New Roman" w:cs="Times New Roman"/>
          <w:color w:val="auto"/>
          <w:sz w:val="24"/>
          <w:szCs w:val="24"/>
        </w:rPr>
        <w:t>Fatores Compostos: Uma abordagem de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otimização</w:t>
      </w:r>
      <w:r w:rsidRPr="0030349A">
        <w:rPr>
          <w:rFonts w:ascii="Times New Roman" w:hAnsi="Times New Roman" w:cs="Times New Roman"/>
          <w:color w:val="auto"/>
          <w:sz w:val="24"/>
          <w:szCs w:val="24"/>
        </w:rPr>
        <w:t xml:space="preserve"> envolve a agregação de métricas diversas em vez de depender de um único indicador para avaliar a atratividade das ações. Pode-se desenvolver um fator composto que combina várias métricas relacionadas à avaliação das ações</w:t>
      </w:r>
      <w:r>
        <w:rPr>
          <w:rFonts w:ascii="Times New Roman" w:hAnsi="Times New Roman" w:cs="Times New Roman"/>
          <w:color w:val="auto"/>
          <w:sz w:val="24"/>
          <w:szCs w:val="24"/>
        </w:rPr>
        <w:t>. Além de fatores de riscos e de dados alternativos, que ampliam a estratégia como um todo, monitorando também o risco da carteira.</w:t>
      </w:r>
    </w:p>
    <w:p w14:paraId="1F7D8B00" w14:textId="77777777" w:rsidR="0030349A" w:rsidRPr="0030349A" w:rsidRDefault="0030349A" w:rsidP="0030349A">
      <w:pPr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52C03FE3" w14:textId="25D03AC8" w:rsidR="0030349A" w:rsidRPr="0030349A" w:rsidRDefault="0030349A" w:rsidP="0030349A">
      <w:pPr>
        <w:ind w:left="3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30349A">
        <w:rPr>
          <w:rFonts w:ascii="Times New Roman" w:hAnsi="Times New Roman" w:cs="Times New Roman"/>
          <w:color w:val="auto"/>
          <w:sz w:val="24"/>
          <w:szCs w:val="24"/>
        </w:rPr>
        <w:t xml:space="preserve">Estratégia </w:t>
      </w:r>
      <w:proofErr w:type="spellStart"/>
      <w:r w:rsidRPr="0030349A">
        <w:rPr>
          <w:rFonts w:ascii="Times New Roman" w:hAnsi="Times New Roman" w:cs="Times New Roman"/>
          <w:color w:val="auto"/>
          <w:sz w:val="24"/>
          <w:szCs w:val="24"/>
        </w:rPr>
        <w:t>Long</w:t>
      </w:r>
      <w:proofErr w:type="spellEnd"/>
      <w:r w:rsidRPr="0030349A">
        <w:rPr>
          <w:rFonts w:ascii="Times New Roman" w:hAnsi="Times New Roman" w:cs="Times New Roman"/>
          <w:color w:val="auto"/>
          <w:sz w:val="24"/>
          <w:szCs w:val="24"/>
        </w:rPr>
        <w:t xml:space="preserve">/Short (Compra/Venda): A estratégia pode ser aprimorada consideravelmente ao adotar uma abordagem de portfólio </w:t>
      </w:r>
      <w:proofErr w:type="spellStart"/>
      <w:r w:rsidRPr="0030349A">
        <w:rPr>
          <w:rFonts w:ascii="Times New Roman" w:hAnsi="Times New Roman" w:cs="Times New Roman"/>
          <w:color w:val="auto"/>
          <w:sz w:val="24"/>
          <w:szCs w:val="24"/>
        </w:rPr>
        <w:t>long</w:t>
      </w:r>
      <w:proofErr w:type="spellEnd"/>
      <w:r w:rsidRPr="0030349A">
        <w:rPr>
          <w:rFonts w:ascii="Times New Roman" w:hAnsi="Times New Roman" w:cs="Times New Roman"/>
          <w:color w:val="auto"/>
          <w:sz w:val="24"/>
          <w:szCs w:val="24"/>
        </w:rPr>
        <w:t>/short em vez de se restringir a compras. Nesse cenário, a estratégia identifica tanto ativos com forte desempenho quanto ativos com desempenho fraco e, assim, cria uma estratégia de cobertura para se proteger contra movimentos amplos de mercado.</w:t>
      </w:r>
    </w:p>
    <w:p w14:paraId="5870A00B" w14:textId="77777777" w:rsidR="0030349A" w:rsidRPr="0030349A" w:rsidRDefault="0030349A" w:rsidP="0030349A">
      <w:pPr>
        <w:rPr>
          <w:rFonts w:ascii="Times New Roman" w:hAnsi="Times New Roman" w:cs="Times New Roman"/>
          <w:sz w:val="24"/>
          <w:szCs w:val="20"/>
        </w:rPr>
      </w:pPr>
    </w:p>
    <w:p w14:paraId="473AC92D" w14:textId="4B62BC41" w:rsidR="0030349A" w:rsidRPr="0030349A" w:rsidRDefault="0030349A" w:rsidP="0030349A">
      <w:pPr>
        <w:tabs>
          <w:tab w:val="left" w:pos="2971"/>
        </w:tabs>
        <w:rPr>
          <w:rFonts w:ascii="Times New Roman" w:hAnsi="Times New Roman" w:cs="Times New Roman"/>
          <w:sz w:val="24"/>
          <w:szCs w:val="20"/>
        </w:rPr>
      </w:pPr>
    </w:p>
    <w:sectPr w:rsidR="0030349A" w:rsidRPr="0030349A" w:rsidSect="000821D9">
      <w:headerReference w:type="default" r:id="rId21"/>
      <w:footerReference w:type="default" r:id="rId22"/>
      <w:footerReference w:type="first" r:id="rId2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45E1F" w14:textId="77777777" w:rsidR="00952103" w:rsidRDefault="00952103" w:rsidP="004B7E44">
      <w:r>
        <w:separator/>
      </w:r>
    </w:p>
  </w:endnote>
  <w:endnote w:type="continuationSeparator" w:id="0">
    <w:p w14:paraId="6545C516" w14:textId="77777777" w:rsidR="00952103" w:rsidRDefault="0095210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A262F81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5752556" w14:textId="232360CA" w:rsidR="004B7E44" w:rsidRDefault="00952103" w:rsidP="004B7E44">
          <w:pPr>
            <w:pStyle w:val="Rodap"/>
          </w:pPr>
          <w:r>
            <w:t>ALPHA QUANT - AABA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B91849" w14:textId="77777777"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9120E9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79B8F" w14:textId="77777777" w:rsidR="00952103" w:rsidRDefault="00952103" w:rsidP="004B7E44">
      <w:r>
        <w:separator/>
      </w:r>
    </w:p>
  </w:footnote>
  <w:footnote w:type="continuationSeparator" w:id="0">
    <w:p w14:paraId="6E096A94" w14:textId="77777777" w:rsidR="00952103" w:rsidRDefault="0095210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2C71C44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70B97B0" w14:textId="77777777" w:rsidR="004B7E44" w:rsidRDefault="004B7E44" w:rsidP="004B7E44">
          <w:pPr>
            <w:pStyle w:val="Cabealho"/>
          </w:pPr>
          <w:r>
            <w:rPr>
              <w:noProof/>
              <w:lang w:bidi="pt-BR"/>
            </w:rPr>
            <mc:AlternateContent>
              <mc:Choice Requires="wps">
                <w:drawing>
                  <wp:inline distT="0" distB="0" distL="0" distR="0" wp14:anchorId="636901AB" wp14:editId="4E71DB3B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45F6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36901AB" id="Retâ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D45F6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pt-B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A069E"/>
    <w:multiLevelType w:val="hybridMultilevel"/>
    <w:tmpl w:val="6DBAE29E"/>
    <w:lvl w:ilvl="0" w:tplc="87900DD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14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103"/>
    <w:rsid w:val="00017BE3"/>
    <w:rsid w:val="000821D9"/>
    <w:rsid w:val="00096EBD"/>
    <w:rsid w:val="0021569E"/>
    <w:rsid w:val="00293B83"/>
    <w:rsid w:val="0030349A"/>
    <w:rsid w:val="003A5C89"/>
    <w:rsid w:val="004B7E44"/>
    <w:rsid w:val="004D5252"/>
    <w:rsid w:val="004F2B86"/>
    <w:rsid w:val="005A718F"/>
    <w:rsid w:val="006A3CE7"/>
    <w:rsid w:val="00744D72"/>
    <w:rsid w:val="007516CF"/>
    <w:rsid w:val="00785584"/>
    <w:rsid w:val="008B33BC"/>
    <w:rsid w:val="009120E9"/>
    <w:rsid w:val="00945900"/>
    <w:rsid w:val="00952103"/>
    <w:rsid w:val="009863A1"/>
    <w:rsid w:val="009C396C"/>
    <w:rsid w:val="00B572B4"/>
    <w:rsid w:val="00BC7227"/>
    <w:rsid w:val="00D63274"/>
    <w:rsid w:val="00DB26A7"/>
    <w:rsid w:val="00E76CAD"/>
    <w:rsid w:val="00E94B5F"/>
    <w:rsid w:val="00F36B79"/>
    <w:rsid w:val="00FA6E2E"/>
    <w:rsid w:val="00FE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F299AE"/>
  <w15:chartTrackingRefBased/>
  <w15:docId w15:val="{2984C269-F96B-42E5-BD18-1746CBB5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D6327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D63274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paragraph" w:styleId="PargrafodaLista">
    <w:name w:val="List Paragraph"/>
    <w:basedOn w:val="Normal"/>
    <w:uiPriority w:val="34"/>
    <w:qFormat/>
    <w:rsid w:val="00FE0868"/>
    <w:pPr>
      <w:spacing w:line="240" w:lineRule="auto"/>
      <w:ind w:left="720"/>
      <w:contextualSpacing/>
    </w:pPr>
    <w:rPr>
      <w:rFonts w:ascii="Times New Roman" w:hAnsi="Times New Roman" w:cs="Times New Roman"/>
      <w:color w:val="auto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h\AppData\Local\Microsoft\Office\16.0\DTS\pt-BR%7bBD6FF47A-2DDD-426E-8E64-5E9B1ECC3C03%7d\%7bADBB1B89-C1D7-4062-A6D2-2B66483A3489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99B22-747E-477A-94E2-780A7981A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{ADBB1B89-C1D7-4062-A6D2-2B66483A3489}tf16392796_win32</Template>
  <TotalTime>59</TotalTime>
  <Pages>10</Pages>
  <Words>1975</Words>
  <Characters>10670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Introdução</dc:subject>
  <dc:creator>Luis Santos</dc:creator>
  <cp:keywords/>
  <dc:description/>
  <cp:lastModifiedBy>Luis Santos</cp:lastModifiedBy>
  <cp:revision>3</cp:revision>
  <cp:lastPrinted>2023-10-26T22:29:00Z</cp:lastPrinted>
  <dcterms:created xsi:type="dcterms:W3CDTF">2023-10-26T21:24:00Z</dcterms:created>
  <dcterms:modified xsi:type="dcterms:W3CDTF">2023-10-26T22:39:00Z</dcterms:modified>
</cp:coreProperties>
</file>