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06"/>
      </w:tblGrid>
      <w:tr>
        <w:tc>
          <w:tcPr>
            <w:tcW w:type="dxa" w:w="101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4E79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Challenge Motiva / CCR  —  Sprint I</w:t>
            </w:r>
          </w:p>
          <w:p>
            <w:r>
              <w:rPr>
                <w:rFonts w:ascii="Arial" w:cs="Arial" w:eastAsia="Arial" w:hAnsi="Arial"/>
                <w:color w:val="BDD7EE"/>
                <w:sz w:val="19"/>
                <w:szCs w:val="19"/>
              </w:rPr>
              <w:t xml:space="preserve">Monitoramento Inteligente de Vegetação em Rodovias  |  SP-021 Rodoanel Oeste</w:t>
            </w:r>
          </w:p>
          <w:p>
            <w:r>
              <w:rPr>
                <w:rFonts w:ascii="Arial" w:cs="Arial" w:eastAsia="Arial" w:hAnsi="Arial"/>
                <w:color w:val="9DC3E6"/>
                <w:sz w:val="17"/>
                <w:szCs w:val="17"/>
              </w:rPr>
              <w:t xml:space="preserve">FIAP  •  2º ano Ciência da Computação  •  Data Science and Analytics</w:t>
            </w:r>
          </w:p>
        </w:tc>
      </w:tr>
    </w:tbl>
    <w:p>
      <w:pPr>
        <w:spacing w:after="0" w:before="18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1. Definição do Problema</w:t>
      </w:r>
    </w:p>
    <w:p>
      <w:pPr>
        <w:spacing w:after="0" w:before="10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A Motiva/CCR realiza levantamentos periódicos de vegetação ao longo do Rodoanel SP-021 Oeste (KM 0 ao KM 29+300), classificando cada trecho manualmente em três níveis de crescimento. O processo atual é lento, pouco escalável e atrasa a detecção de situações críticas.</w:t>
      </w:r>
    </w:p>
    <w:p>
      <w:pPr>
        <w:spacing w:after="0" w:before="6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O problema proposto é: </w:t>
      </w:r>
    </w:p>
    <w:p>
      <w:pPr>
        <w:spacing w:after="0" w:before="2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2E75B6"/>
                <w:sz w:val="18"/>
                <w:szCs w:val="18"/>
              </w:rPr>
              <w:t xml:space="preserve">ℹ️  Dado o histórico de níveis de vegetação por trecho e área, prever quais trechos atingirão o nível crítico (h &gt; 30 cm) no próximo ciclo de levantamento — permitindo priorizar equipes de roçada antes que a situação se agrave.</w:t>
            </w:r>
          </w:p>
        </w:tc>
      </w:tr>
    </w:tbl>
    <w:p>
      <w:pPr>
        <w:spacing w:after="0" w:before="12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2. Formulação como Problema de Data Science</w:t>
      </w:r>
    </w:p>
    <w:p>
      <w:pPr>
        <w:spacing w:after="0" w:before="10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406"/>
      </w:tblGrid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Componente</w:t>
            </w:r>
          </w:p>
        </w:tc>
        <w:tc>
          <w:tcPr>
            <w:tcW w:type="dxa" w:w="8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f(X) → y</w:t>
            </w:r>
          </w:p>
        </w:tc>
        <w:tc>
          <w:tcPr>
            <w:tcW w:type="dxa" w:w="8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Classificação supervisionada: prever o nível de vegetação em T2 a partir de features observadas em T1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X  (features)</w:t>
            </w:r>
          </w:p>
        </w:tc>
        <w:tc>
          <w:tcPr>
            <w:tcW w:type="dxa" w:w="8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Tipo de área (canteiro), posição KM normalizada, nível no levantamento anterior, flag área externa/interna, intervalo em dias entre medições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y  (target)</w:t>
            </w:r>
          </w:p>
        </w:tc>
        <w:tc>
          <w:tcPr>
            <w:tcW w:type="dxa" w:w="8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Nível em T2: multiclasse {1, 2, 3}  ou  binário {crítico / não-crítico}  (Nível 3 = h &gt; 30 cm)</w:t>
            </w:r>
          </w:p>
        </w:tc>
      </w:tr>
      <w:tr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Tarefa</w:t>
            </w:r>
          </w:p>
        </w:tc>
        <w:tc>
          <w:tcPr>
            <w:tcW w:type="dxa" w:w="8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Classificação supervisionada — modelo base: Random Forest com SMOTE para tratamento de desbalanceamento</w:t>
            </w:r>
          </w:p>
        </w:tc>
      </w:tr>
    </w:tbl>
    <w:p>
      <w:pPr>
        <w:spacing w:after="0" w:before="12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3. Dados: Identificação, Caracterização e Justificativa</w:t>
      </w:r>
    </w:p>
    <w:p>
      <w:pPr>
        <w:spacing w:after="0" w:before="100"/>
      </w:pPr>
    </w:p>
    <w:p>
      <w:pPr>
        <w:pBdr>
          <w:left w:val="single" w:color="2E75B6" w:sz="16" w:space="8"/>
        </w:pBdr>
        <w:spacing w:after="50" w:before="140"/>
        <w:ind w:left="12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3.1  Por que dados tabulares e não imagens?</w:t>
      </w:r>
    </w:p>
    <w:p>
      <w:pPr>
        <w:spacing w:after="0" w:before="4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O enunciado incentiva o uso de imagens, mas dados tabulares são a escolha tecnicamente superior para este contexto operacional específico. Justificativas:</w:t>
      </w:r>
    </w:p>
    <w:p>
      <w:pPr>
        <w:spacing w:after="0" w:before="4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4553"/>
        <w:gridCol w:w="5153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Abordagem com Imagens</w:t>
            </w:r>
          </w:p>
        </w:tc>
        <w:tc>
          <w:tcPr>
            <w:tcW w:type="dxa" w:w="51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Abordagem com Dados Tabulares (escolhida)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Dados</w:t>
            </w:r>
          </w:p>
        </w:tc>
        <w:tc>
          <w:tcPr>
            <w:tcW w:type="dxa" w:w="4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Requerem coleta via drone ou câmera — inexistente no processo atual da Motiva</w:t>
            </w:r>
          </w:p>
        </w:tc>
        <w:tc>
          <w:tcPr>
            <w:tcW w:type="dxa" w:w="51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Dados reais da empresa, coletados em campo e já validados operacionalmente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Edge AI</w:t>
            </w:r>
          </w:p>
        </w:tc>
        <w:tc>
          <w:tcPr>
            <w:tcW w:type="dxa" w:w="4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Modelos de visão computacional (CNNs) são pesados para hardware embarcado</w:t>
            </w:r>
          </w:p>
        </w:tc>
        <w:tc>
          <w:tcPr>
            <w:tcW w:type="dxa" w:w="51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Modelos tabulares (Random Forest, XGBoost) são leves — rodam em microcontroladores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Custo</w:t>
            </w:r>
          </w:p>
        </w:tc>
        <w:tc>
          <w:tcPr>
            <w:tcW w:type="dxa" w:w="4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Alto custo de aquisição e anotação de imagens segmentadas por nível de vegetação</w:t>
            </w:r>
          </w:p>
        </w:tc>
        <w:tc>
          <w:tcPr>
            <w:tcW w:type="dxa" w:w="51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Dados já existem no processo de levantamento — custo zero de coleta adicional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Integração</w:t>
            </w:r>
          </w:p>
        </w:tc>
        <w:tc>
          <w:tcPr>
            <w:tcW w:type="dxa" w:w="45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Requer mudança de infraestrutura para captura e processamento de imagens em campo</w:t>
            </w:r>
          </w:p>
        </w:tc>
        <w:tc>
          <w:tcPr>
            <w:tcW w:type="dxa" w:w="515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Integra-se diretamente ao fluxo atual: app substitui planilha XLSX sem nova infraestrutura</w:t>
            </w:r>
          </w:p>
        </w:tc>
      </w:tr>
    </w:tbl>
    <w:p>
      <w:pPr>
        <w:spacing w:after="0" w:before="8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color w:val="1E7145"/>
                <w:sz w:val="18"/>
                <w:szCs w:val="18"/>
              </w:rPr>
              <w:t xml:space="preserve">✔  Em sprints futuras, imagens de drone poderão enriquecer o modelo — mas como feature adicional, não como substituto aos dados operacionais que já existem e funcionam.</w:t>
            </w:r>
          </w:p>
        </w:tc>
      </w:tr>
    </w:tbl>
    <w:p>
      <w:pPr>
        <w:spacing w:after="0" w:before="120"/>
      </w:pPr>
    </w:p>
    <w:p>
      <w:pPr>
        <w:pBdr>
          <w:left w:val="single" w:color="2E75B6" w:sz="16" w:space="8"/>
        </w:pBdr>
        <w:spacing w:after="50" w:before="140"/>
        <w:ind w:left="12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3.2  Fonte e Estrutura</w:t>
      </w:r>
    </w:p>
    <w:p>
      <w:pPr>
        <w:spacing w:after="0" w:before="4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Dataset proprietário fornecido pela Motiva/CCR: dois relatórios em formato Unifilar de Roçada (XLSX), cobrindo 8 áreas e 60 pontos de KM do Rodoanel SP-021, nos dias 13/03/2026 e 20/03/2026.</w:t>
      </w:r>
    </w:p>
    <w:p>
      <w:pPr>
        <w:spacing w:after="0" w:before="80"/>
      </w:pPr>
    </w:p>
    <w:p>
      <w:pPr>
        <w:pBdr>
          <w:left w:val="single" w:color="2E75B6" w:sz="16" w:space="8"/>
        </w:pBdr>
        <w:spacing w:after="50" w:before="140"/>
        <w:ind w:left="12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3.3  Variáveis</w:t>
      </w:r>
    </w:p>
    <w:p>
      <w:pPr>
        <w:spacing w:after="0" w:before="4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000"/>
        <w:gridCol w:w="5706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Variável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Tipo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area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Categórica (8 classes)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Tipo de canteiro: Lateral, Central, Marginal e Dispositivo — Ext. e Int.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km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Numérica contínua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Posição na rodovia em metros (0 a 29.300 m)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nivel_t1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Ordinal {1, 2, 3}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Nível de vegetação no levantamento anterior — feature principal do modelo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nivel_t2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Ordinal {1, 2, 3}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Nível de vegetação no levantamento seguinte — variável target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delta_dias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Numérica inteira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Intervalo em dias entre T1 e T2 (7 dias neste dataset; variável em uso contínuo)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critico_t2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Binária {0, 1}</w:t>
            </w:r>
          </w:p>
        </w:tc>
        <w:tc>
          <w:tcPr>
            <w:tcW w:type="dxa" w:w="5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Flag: trecho atingiu nível crítico em T2 — target alternativo para classificação binária</w:t>
            </w:r>
          </w:p>
        </w:tc>
      </w:tr>
    </w:tbl>
    <w:p>
      <w:pPr>
        <w:spacing w:after="0" w:before="16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4. EDA e Qualidade dos Dados</w:t>
      </w:r>
    </w:p>
    <w:p>
      <w:pPr>
        <w:spacing w:after="0" w:before="100"/>
      </w:pPr>
    </w:p>
    <w:p>
      <w:pPr>
        <w:pBdr>
          <w:left w:val="single" w:color="2E75B6" w:sz="16" w:space="8"/>
        </w:pBdr>
        <w:spacing w:after="50" w:before="140"/>
        <w:ind w:left="12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4.1  Principais Achados</w:t>
      </w:r>
    </w:p>
    <w:p>
      <w:pPr>
        <w:spacing w:after="0" w:before="40"/>
      </w:pP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248 trechos monitorados (área + KM), com 496 leituras distribuídas nos dois levantamentos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Distribuição: Nível 1 — 68,9%  |  Nível 2 — 21,2%  |  Nível 3 — 9,9%  (classe crítica é minoria)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23 trechos pioraram de nível em 7 dias — CANT. LATERAL INTERNA e CANT. DISPOSITIVO EXT. lideram o risco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~52% dos trechos têm leitura efetiva; demais têm marcação 'X' (ciclo não aplicável ao trecho — padrão operacional, não dado faltante)</w:t>
      </w:r>
    </w:p>
    <w:p>
      <w:pPr>
        <w:spacing w:after="0" w:before="80"/>
      </w:pPr>
    </w:p>
    <w:p>
      <w:pPr>
        <w:pBdr>
          <w:left w:val="single" w:color="2E75B6" w:sz="16" w:space="8"/>
        </w:pBdr>
        <w:spacing w:after="50" w:before="140"/>
        <w:ind w:left="120"/>
      </w:pPr>
      <w:r>
        <w:rPr>
          <w:rFonts w:ascii="Arial" w:cs="Arial" w:eastAsia="Arial" w:hAnsi="Arial"/>
          <w:b/>
          <w:bCs/>
          <w:color w:val="2E75B6"/>
          <w:sz w:val="21"/>
          <w:szCs w:val="21"/>
        </w:rPr>
        <w:t xml:space="preserve">4.2  Problemas e Tratamentos</w:t>
      </w:r>
    </w:p>
    <w:p>
      <w:pPr>
        <w:spacing w:after="0" w:before="4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906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Problema Identificado</w:t>
            </w:r>
          </w:p>
        </w:tc>
        <w:tc>
          <w:tcPr>
            <w:tcW w:type="dxa" w:w="6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Tratamento Aplicado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Desbalanceamento — Nível 3 é minoria (9,9%)</w:t>
            </w:r>
          </w:p>
        </w:tc>
        <w:tc>
          <w:tcPr>
            <w:tcW w:type="dxa" w:w="6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SMOTE aplicado no notebook: gera amostras sintéticas da classe crítica, equalizando a distribuição antes do treino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Registros 'X' sem leitura (~48%)</w:t>
            </w:r>
          </w:p>
        </w:tc>
        <w:tc>
          <w:tcPr>
            <w:tcW w:type="dxa" w:w="6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Excluídos da modelagem — apenas trechos com leitura em T1 e T2 compõem o dataset de treino (96 amostras)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Variável categórica 'area'</w:t>
            </w:r>
          </w:p>
        </w:tc>
        <w:tc>
          <w:tcPr>
            <w:tcW w:type="dxa" w:w="6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LabelEncoder aplicado; One-Hot Encoding será avaliado em modelos lineares na Sprint II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Apenas 2 datas de levantamento</w:t>
            </w:r>
          </w:p>
        </w:tc>
        <w:tc>
          <w:tcPr>
            <w:tcW w:type="dxa" w:w="6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Suficiente para prova de conceito nesta Sprint; histórico acumulado ampliará o dataset nas próximas entregas</w:t>
            </w:r>
          </w:p>
        </w:tc>
      </w:tr>
    </w:tbl>
    <w:p>
      <w:pPr>
        <w:spacing w:after="0" w:before="12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5. Métricas de Sucesso</w:t>
      </w:r>
    </w:p>
    <w:p>
      <w:pPr>
        <w:spacing w:after="0" w:before="10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Dado o contexto operacional — priorização de manutenção preventiva — o custo de um falso negativo (não detectar trecho crítico) é muito maior que o custo de um falso positivo. As métricas priorizam recall da classe crítica:</w:t>
      </w:r>
    </w:p>
    <w:p>
      <w:pPr>
        <w:spacing w:after="0" w:before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306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Métrica</w:t>
            </w:r>
          </w:p>
        </w:tc>
        <w:tc>
          <w:tcPr>
            <w:tcW w:type="dxa" w:w="7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Justificativa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Recall  (Crítico)</w:t>
            </w:r>
          </w:p>
        </w:tc>
        <w:tc>
          <w:tcPr>
            <w:tcW w:type="dxa" w:w="7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Métrica primária — minimizar trechos críticos não detectados antes da intervenção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F1-Score macro</w:t>
            </w:r>
          </w:p>
        </w:tc>
        <w:tc>
          <w:tcPr>
            <w:tcW w:type="dxa" w:w="7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Equilibra precisão e recall considerando o desbalanceamento entre as três classes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AUC-ROC</w:t>
            </w:r>
          </w:p>
        </w:tc>
        <w:tc>
          <w:tcPr>
            <w:tcW w:type="dxa" w:w="7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Avalia a separabilidade do modelo entre crítico e não-crítico, independente do threshold de decisão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Precision@K</w:t>
            </w:r>
          </w:p>
        </w:tc>
        <w:tc>
          <w:tcPr>
            <w:tcW w:type="dxa" w:w="7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Dos K trechos com maior score de risco, quantos são de fato críticos — relevante para roteirização de equipes</w:t>
            </w:r>
          </w:p>
        </w:tc>
      </w:tr>
    </w:tbl>
    <w:p>
      <w:pPr>
        <w:spacing w:after="0" w:before="120"/>
      </w:pPr>
    </w:p>
    <w:p>
      <w:pPr>
        <w:shd w:fill="1F4E79" w:val="clear"/>
        <w:spacing w:after="0" w:before="200"/>
        <w:ind w:left="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  6. Integração com o Contexto Operacional da Motiva/CCR</w:t>
      </w:r>
    </w:p>
    <w:p>
      <w:pPr>
        <w:spacing w:after="0" w:before="100"/>
      </w:pPr>
    </w:p>
    <w:p>
      <w:pPr>
        <w:spacing w:after="40" w:before="40"/>
        <w:ind w:left="0"/>
      </w:pPr>
      <w:r>
        <w:rPr>
          <w:rFonts w:ascii="Arial" w:cs="Arial" w:eastAsia="Arial" w:hAnsi="Arial"/>
          <w:color w:val="404040"/>
          <w:sz w:val="19"/>
          <w:szCs w:val="19"/>
        </w:rPr>
        <w:t xml:space="preserve">A solução é projetada para operar em Edge AI — processamento local, sem dependência de conectividade contínua, compatível com dispositivos embarcados utilizados pelas equipes de campo:</w:t>
      </w:r>
    </w:p>
    <w:p>
      <w:pPr>
        <w:spacing w:after="0" w:before="60"/>
      </w:pPr>
    </w:p>
    <w:tbl>
      <w:tblPr>
        <w:tblW w:type="dxa" w:w="101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400"/>
        <w:gridCol w:w="8306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Etapa</w:t>
            </w:r>
          </w:p>
        </w:tc>
        <w:tc>
          <w:tcPr>
            <w:tcW w:type="dxa" w:w="8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Descrição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1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Coleta</w:t>
            </w:r>
          </w:p>
        </w:tc>
        <w:tc>
          <w:tcPr>
            <w:tcW w:type="dxa" w:w="8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Equipes registram o nível de vegetação por trecho via app mobile, substituindo a planilha XLSX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2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E7145"/>
                <w:sz w:val="17"/>
                <w:szCs w:val="17"/>
              </w:rPr>
              <w:t xml:space="preserve">Inferência</w:t>
            </w:r>
          </w:p>
        </w:tc>
        <w:tc>
          <w:tcPr>
            <w:tcW w:type="dxa" w:w="8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Modelo comprimido (TFLite / ONNX) roda no dispositivo: lê dados de T1 e gera predição de risco para T2 em tempo real, sem internet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3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55A11"/>
                <w:sz w:val="17"/>
                <w:szCs w:val="17"/>
              </w:rPr>
              <w:t xml:space="preserve">Alerta</w:t>
            </w:r>
          </w:p>
        </w:tc>
        <w:tc>
          <w:tcPr>
            <w:tcW w:type="dxa" w:w="8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Trechos preditos como críticos são destacados no mapa do app com prioridade de intervenção e rota otimizada de roçada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4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E75B6"/>
                <w:sz w:val="17"/>
                <w:szCs w:val="17"/>
              </w:rPr>
              <w:t xml:space="preserve">Sincronização</w:t>
            </w:r>
          </w:p>
        </w:tc>
        <w:tc>
          <w:tcPr>
            <w:tcW w:type="dxa" w:w="83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7"/>
                <w:szCs w:val="17"/>
              </w:rPr>
              <w:t xml:space="preserve">Ao retornar à base com conectividade, dados e predições são enviados ao servidor para retreino periódico do modelo</w:t>
            </w:r>
          </w:p>
        </w:tc>
      </w:tr>
    </w:tbl>
    <w:p>
      <w:pPr>
        <w:spacing w:after="0" w:before="140"/>
      </w:pPr>
    </w:p>
    <w:p>
      <w:pPr>
        <w:pBdr>
          <w:top w:val="single" w:color="CCCCCC" w:sz="4" w:space="6"/>
        </w:pBdr>
        <w:spacing w:after="0" w:before="80"/>
        <w:jc w:val="center"/>
      </w:pPr>
      <w:r>
        <w:rPr>
          <w:rFonts w:ascii="Arial" w:cs="Arial" w:eastAsia="Arial" w:hAnsi="Arial"/>
          <w:color w:val="AAAAAA"/>
          <w:sz w:val="15"/>
          <w:szCs w:val="15"/>
        </w:rPr>
        <w:t xml:space="preserve">Challenge Motiva/CCR  —  Sprint I  |  FIAP 2026  |  SP-021 Rodoanel Mário Covas Oeste</w:t>
      </w:r>
    </w:p>
    <w:sectPr>
      <w:pgSz w:w="11906" w:h="16838" w:orient="portrait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40404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2026-04-28T18:13:40.116Z</dcterms:created>
  <dcterms:modified xsi:type="dcterms:W3CDTF">2026-04-28T18:13:40.117Z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