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color w:val="000000"/>
        </w:rPr>
        <w:t>Informe del proyecto StockFácil PC</w:t>
      </w:r>
    </w:p>
    <w:p>
      <w:pPr>
        <w:spacing w:after="40"/>
        <w:jc w:val="left"/>
      </w:pPr>
      <w:r>
        <w:rPr>
          <w:rFonts w:ascii="Arial" w:hAnsi="Arial"/>
          <w:b/>
          <w:color w:val="5C6978"/>
          <w:sz w:val="24"/>
        </w:rPr>
        <w:t>Control de inventario de artículos de computación</w:t>
      </w:r>
    </w:p>
    <w:p>
      <w:pPr>
        <w:spacing w:after="240"/>
        <w:jc w:val="left"/>
      </w:pPr>
      <w:r>
        <w:rPr>
          <w:rFonts w:ascii="Arial" w:hAnsi="Arial"/>
          <w:color w:val="5C6978"/>
          <w:sz w:val="18"/>
        </w:rPr>
        <w:t>Desarrollo de Aplicaciones Móviles I  |  Avance de informe</w:t>
      </w:r>
    </w:p>
    <w:p>
      <w:pPr>
        <w:pStyle w:val="Heading1"/>
      </w:pPr>
      <w:r>
        <w:t>1 Resumen</w:t>
      </w:r>
    </w:p>
    <w:p>
      <w:pPr>
        <w:keepLines/>
        <w:widowControl/>
        <w:jc w:val="both"/>
      </w:pPr>
      <w:r>
        <w:t>StockFácil PC es un proyecto aplicado que busca mejorar el control del inventario de una tienda pequeña de artículos de computación. La propuesta organiza el registro, la búsqueda y la actualización de productos y existencias, para que el encargado consulte información clara desde el teléfono y el administrador trabaje con los mismos datos en un portal web.</w:t>
      </w:r>
    </w:p>
    <w:p>
      <w:pPr>
        <w:keepLines/>
        <w:widowControl/>
        <w:jc w:val="both"/>
      </w:pPr>
      <w:r>
        <w:t>El avance funcional integra una aplicación Android, un servicio REST y un portal administrativo. Desde la aplicación se pueden consultar y mantener productos, elegir categorías y registrar ingresos o salidas de stock. El portal permite administrar productos y categorías, revisar las existencias y consultar los movimientos. La integración se ha comprobado en una red local: un producto registrado desde el teléfono también aparece en el portal.</w:t>
      </w:r>
    </w:p>
    <w:p>
      <w:pPr>
        <w:keepLines/>
        <w:widowControl/>
        <w:jc w:val="both"/>
      </w:pPr>
      <w:r>
        <w:t>La versión actual guarda los datos compartidos en una base SQLite que utiliza la API en la computadora. Como parte del alcance final queda guardar primero los cambios en SQLite dentro del teléfono y sincronizarlos cuando haya conexión; también se debe publicar la base de datos y los servicios en un hosting aprobado para el proyecto. El escenario todavía no se ha validado con una tienda específica, por lo que el diagnóstico usa información nacional y plantea una validación local pendiente.</w:t>
      </w:r>
    </w:p>
    <w:p>
      <w:pPr>
        <w:pStyle w:val="Heading1"/>
      </w:pPr>
      <w:r>
        <w:t>2 Introducción</w:t>
      </w:r>
    </w:p>
    <w:p>
      <w:pPr>
        <w:keepLines/>
        <w:widowControl/>
        <w:jc w:val="both"/>
      </w:pPr>
      <w:r>
        <w:t>Una tienda de componentes y accesorios de computación necesita saber qué productos tiene disponibles, en qué cantidad y cuándo debe actualizar sus existencias. Si esa información se consulta en distintos lugares, mantenerla al día puede resultar difícil. Este proyecto toma como escenario una tienda pequeña de artículos de PC y propone ordenar el proceso de registro y consulta del inventario.</w:t>
      </w:r>
    </w:p>
    <w:p>
      <w:pPr>
        <w:keepLines/>
        <w:widowControl/>
        <w:jc w:val="both"/>
      </w:pPr>
      <w:r>
        <w:t>StockFácil PC reúne una aplicación móvil para registrar y consultar productos, un portal administrativo para mantener el catálogo y revisar los movimientos, y un servicio REST que comunica ambos canales. El objetivo es que el encargado pueda trabajar desde el teléfono y que el administrador encuentre en el portal la misma información. La aplicación debe conservar los datos en SQLite del dispositivo y enviarlos al servicio cuando exista conexión; esa sincronización local todavía forma parte del trabajo pendiente.</w:t>
      </w:r>
    </w:p>
    <w:p>
      <w:pPr>
        <w:keepLines/>
        <w:widowControl/>
        <w:jc w:val="both"/>
      </w:pPr>
      <w:r>
        <w:t>El informe completo también documentará la base de datos en sus modelos lógico y físico, el modelo entidad-relación, los mockups, los casos de uso, los flujos y las reglas del negocio. Este avance presenta únicamente el resumen, la introducción, el diagnóstico y los objetivos. La tienda de referencia aún no ha sido identificada ni entrevistada; por eso no se atribuyen al negocio pérdidas, errores o tiempos de atención que todavía no se han medido.</w:t>
      </w:r>
    </w:p>
    <w:p>
      <w:pPr>
        <w:pStyle w:val="Heading1"/>
      </w:pPr>
      <w:r>
        <w:t>3 Diagnóstico</w:t>
      </w:r>
    </w:p>
    <w:p>
      <w:pPr>
        <w:keepLines/>
        <w:widowControl/>
        <w:jc w:val="both"/>
      </w:pPr>
      <w:r>
        <w:t>El diagnóstico revisa cuatro aspectos SEPTE: social, económico, tecnológico y ecológico. Las fuentes describen el contexto peruano, pero no prueban por sí solas cómo trabaja una tienda concreta. Antes de cerrar el informe, se deberá entrevistar a una tienda de artículos de computación y observar cómo registra los ingresos, las salidas y las consultas de stock.</w:t>
      </w:r>
    </w:p>
    <w:p>
      <w:pPr>
        <w:pStyle w:val="Heading2"/>
      </w:pPr>
      <w:r>
        <w:t>3.1 Aspecto social</w:t>
      </w:r>
    </w:p>
    <w:p>
      <w:pPr>
        <w:keepLines/>
        <w:widowControl/>
        <w:jc w:val="both"/>
      </w:pPr>
      <w:r>
        <w:t>Durante el segundo trimestre de 2025, el 89,0 % de la población peruana de 6 años a más que usó Internet se conectó mediante un teléfono celular, con o sin plan de datos.</w:t>
      </w:r>
      <w:r>
        <w:rPr>
          <w:rStyle w:val="FootnoteReference"/>
        </w:rPr>
        <w:footnoteReference w:id="1"/>
      </w:r>
    </w:p>
    <w:p>
      <w:pPr>
        <w:keepLines/>
        <w:widowControl/>
        <w:jc w:val="both"/>
      </w:pPr>
      <w:r>
        <w:t>El dato muestra que el teléfono es un medio extendido entre quienes ya usan Internet y respalda probar un flujo móvil para consultar el inventario. No significa que todas las personas o todos los negocios tengan conexión disponible en todo momento.</w:t>
      </w:r>
    </w:p>
    <w:p>
      <w:pPr>
        <w:pStyle w:val="Heading2"/>
      </w:pPr>
      <w:r>
        <w:t>3.2 Aspecto económico</w:t>
      </w:r>
    </w:p>
    <w:p>
      <w:pPr>
        <w:keepLines/>
        <w:widowControl/>
        <w:jc w:val="both"/>
      </w:pPr>
      <w:r>
        <w:t>En julio de 2025, el Ministerio de la Producción informó que más de 500 micro y pequeñas empresas participaron en la segunda edición del CyberWow, con negocios de 20 regiones.</w:t>
      </w:r>
      <w:r>
        <w:rPr>
          <w:rStyle w:val="FootnoteReference"/>
        </w:rPr>
        <w:footnoteReference w:id="2"/>
      </w:r>
    </w:p>
    <w:p>
      <w:pPr>
        <w:keepLines/>
        <w:widowControl/>
        <w:jc w:val="both"/>
      </w:pPr>
      <w:r>
        <w:t>Esta participación muestra que existen iniciativas que acercan a las MYPE a los canales digitales. Para un negocio que venda artículos de computación, mantener ordenado el catálogo y las existencias puede acompañar ese proceso. La cifra no demuestra que una tienda específica venda por Internet ni que tenga problemas de inventario; ambos puntos deben confirmarse con el negocio elegido.</w:t>
      </w:r>
    </w:p>
    <w:p>
      <w:pPr>
        <w:pStyle w:val="Heading2"/>
      </w:pPr>
      <w:r>
        <w:t>3.3 Aspecto tecnológico</w:t>
      </w:r>
    </w:p>
    <w:p>
      <w:pPr>
        <w:keepLines/>
        <w:widowControl/>
        <w:jc w:val="both"/>
      </w:pPr>
      <w:r>
        <w:t>En el segundo trimestre de 2025, el 60,1 % de los hogares del país contaba con conexión a Internet; el resultado variaba según la zona de residencia.</w:t>
      </w:r>
      <w:r>
        <w:rPr>
          <w:rStyle w:val="FootnoteReference"/>
        </w:rPr>
        <w:footnoteReference w:id="3"/>
      </w:r>
    </w:p>
    <w:p>
      <w:pPr>
        <w:keepLines/>
        <w:widowControl/>
        <w:jc w:val="both"/>
      </w:pPr>
      <w:r>
        <w:t>Como el acceso no es igual en todos los hogares, el proyecto no debe depender de una conexión continua para conservar cada cambio. Por eso, el alcance contempla guardar la información primero en SQLite dentro del teléfono y enviarla al servicio REST al recuperar la conexión. El porcentaje nacional no describe la conectividad del establecimiento que finalmente participe en el proyecto, la cual debe verificarse.</w:t>
      </w:r>
    </w:p>
    <w:p>
      <w:pPr>
        <w:pStyle w:val="Heading2"/>
      </w:pPr>
      <w:r>
        <w:t>3.4 Aspecto ecológico</w:t>
      </w:r>
    </w:p>
    <w:p>
      <w:pPr>
        <w:keepLines/>
        <w:widowControl/>
        <w:jc w:val="both"/>
      </w:pPr>
      <w:r>
        <w:t>El Ministerio del Ambiente aprobó el Régimen Especial de Gestión y Manejo de Residuos de Aparatos Eléctricos y Electrónicos mediante el Decreto Supremo N.° 009-2019-MINAM.</w:t>
      </w:r>
      <w:r>
        <w:rPr>
          <w:rStyle w:val="FootnoteReference"/>
        </w:rPr>
        <w:footnoteReference w:id="4"/>
      </w:r>
    </w:p>
    <w:p>
      <w:pPr>
        <w:keepLines/>
        <w:widowControl/>
        <w:jc w:val="both"/>
      </w:pPr>
      <w:r>
        <w:t>Este marco es pertinente para un entorno que comercializa equipos y componentes, especialmente si el negocio recibe productos dañados o fuera de uso. La versión actual de StockFácil PC controla productos y existencias, pero no registra ni gestiona residuos electrónicos. Las responsabilidades concretas dependerán de la actividad real del negocio y quedan fuera de este alcance inicial.</w:t>
      </w:r>
    </w:p>
    <w:p>
      <w:pPr>
        <w:pStyle w:val="Heading2"/>
      </w:pPr>
      <w:r>
        <w:t>Síntesis del diagnóstico</w:t>
      </w:r>
    </w:p>
    <w:p>
      <w:pPr>
        <w:keepLines/>
        <w:widowControl/>
        <w:jc w:val="both"/>
      </w:pPr>
      <w:r>
        <w:t>La información revisada respalda estudiar una solución móvil y considerar el trabajo sin conexión permanente. También muestra una oportunidad general para que las MYPE usen canales digitales y un marco ambiental relacionado con los residuos electrónicos. Aún falta evidencia del proceso de una tienda específica. La entrevista y la observación deberán precisar quién registra el stock, qué pasos sigue, qué dificultades encuentra y cómo se actualiza hoy la información. Solo con esa línea de partida se podrá proponer una reducción de tiempos o errores con una medida defendible.</w:t>
      </w:r>
    </w:p>
    <w:p>
      <w:pPr>
        <w:pStyle w:val="Heading1"/>
      </w:pPr>
      <w:r>
        <w:t>4 Objetivos</w:t>
      </w:r>
    </w:p>
    <w:p>
      <w:pPr>
        <w:keepLines/>
        <w:widowControl/>
        <w:jc w:val="both"/>
      </w:pPr>
      <w:r>
        <w:t>Los objetivos se enfocan en mejorar el control del inventario; la aplicación, el portal, la base de datos y los servicios son los medios para hacerlo. Como todavía no existe una medición inicial de una tienda, no se promete reducir tiempos o errores en un porcentaje. El avance se comprobará ejecutando los flujos descritos abajo antes de la sustentación final del curso.</w:t>
      </w:r>
    </w:p>
    <w:p>
      <w:pPr>
        <w:pStyle w:val="Heading2"/>
      </w:pPr>
      <w:r>
        <w:t>Objetivo general</w:t>
      </w:r>
    </w:p>
    <w:p>
      <w:pPr>
        <w:keepLines/>
        <w:widowControl/>
        <w:jc w:val="both"/>
      </w:pPr>
      <w:r>
        <w:t>Mejorar el control del inventario de una tienda pequeña de artículos de computación mediante un flujo que permita registrar y actualizar productos desde el teléfono, conservar los datos en SQLite y consultar la misma información en el portal administrativo antes de la sustentación final del curso.</w:t>
      </w:r>
    </w:p>
    <w:p>
      <w:pPr>
        <w:pStyle w:val="Heading2"/>
      </w:pPr>
      <w:r>
        <w:t>Objetivos específicos</w:t>
      </w:r>
    </w:p>
    <w:p>
      <w:pPr>
        <w:keepLines/>
        <w:widowControl/>
        <w:jc w:val="both"/>
      </w:pPr>
      <w:r>
        <w:t>1. Permitir que el encargado registre, busque por nombre o código, modifique y retire productos desde la aplicación móvil, conservando la información en SQLite del teléfono antes de la sustentación final. Se comprobará al ejecutar esos cuatro flujos y verificar que los datos sigan disponibles al cerrar y volver a abrir la aplicación.</w:t>
      </w:r>
    </w:p>
    <w:p>
      <w:pPr>
        <w:keepLines/>
        <w:widowControl/>
        <w:jc w:val="both"/>
      </w:pPr>
      <w:r>
        <w:t>2. Mantener actualizados el inventario móvil y el portal administrativo mediante el envío de cambios por servicios REST cuando vuelva la conexión. Se comprobará guardando un producto y un movimiento en el teléfono, recuperando la conexión y confirmando en el portal el mismo código y la misma cantidad de stock.</w:t>
      </w:r>
    </w:p>
    <w:p>
      <w:pPr>
        <w:keepLines/>
        <w:widowControl/>
        <w:jc w:val="both"/>
      </w:pPr>
      <w:r>
        <w:t>3. Facilitar al administrador el mantenimiento de categorías y productos y la consulta de los movimientos de stock desde el portal, con la base de datos publicada en un hosting gratuito aprobado para el curso antes de la sustentación final. Se comprobará con los flujos de alta, consulta, modificación y baja definidos para el catálogo, además del registro y consulta de movimientos, y verificando que el portal y la aplicación muestren los datos compartidos.</w:t>
      </w:r>
    </w:p>
    <w:sectPr w:rsidR="00FC693F" w:rsidRPr="0006063C" w:rsidSect="00034616">
      <w:headerReference w:type="default" r:id="rId9"/>
      <w:footerReference w:type="default" r:id="rId10"/>
      <w:pgSz w:w="11909" w:h="16834"/>
      <w:pgMar w:top="1699" w:right="1411" w:bottom="1699"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978"/>
        <w:sz w:val="16"/>
      </w:rPr>
      <w:t xml:space="preserve">Desarrollo de Aplicaciones Móviles I  ·  </w:t>
    </w:r>
    <w:fldSimple w:instr="PAGE"/>
  </w:p>
</w:ftr>
</file>

<file path=word/footnotes.xml><?xml version="1.0" encoding="utf-8"?>
<w:footnotes xmlns:w="http://schemas.openxmlformats.org/wordprocessingml/2006/main">
  <w:footnote w:type="separator" w:id="-1">
    <w:p>
      <w:r>
        <w:separator/>
      </w:r>
    </w:p>
  </w:footnote>
  <w:footnote w:type="continuationSeparator" w:id="-2">
    <w:p>
      <w:r>
        <w:continuationSeparator/>
      </w:r>
    </w:p>
  </w:footnote>
  <w:footnote w:id="1">
    <w:p>
      <w:pPr>
        <w:pStyle w:val="FootnoteText"/>
      </w:pPr>
      <w:r>
        <w:rPr>
          <w:rStyle w:val="FootnoteReference"/>
        </w:rPr>
        <w:footnoteRef/>
      </w:r>
      <w:r>
        <w:rPr>
          <w:rStyle w:val="FootnoteTextChar"/>
          <w:rFonts w:ascii="Arial" w:hAnsi="Arial"/>
          <w:sz w:val="16"/>
          <w:color w:val="444444"/>
        </w:rPr>
        <w:t xml:space="preserve"> Instituto Nacional de Estadística e Informática (29 de septiembre de 2025). El 60,1% de los hogares tiene conexión a Internet. Nota de prensa; dato de uso de Internet mediante celular en el segundo trimestre de 2025. https://www.gob.pe/institucion/inei/noticias/1254582-el-60-1-de-los-hogares-tiene-conexion-a-internet</w:t>
      </w:r>
    </w:p>
  </w:footnote>
  <w:footnote w:id="2">
    <w:p>
      <w:pPr>
        <w:pStyle w:val="FootnoteText"/>
      </w:pPr>
      <w:r>
        <w:rPr>
          <w:rStyle w:val="FootnoteReference"/>
        </w:rPr>
        <w:footnoteRef/>
      </w:r>
      <w:r>
        <w:rPr>
          <w:rStyle w:val="FootnoteTextChar"/>
          <w:rFonts w:ascii="Arial" w:hAnsi="Arial"/>
          <w:sz w:val="16"/>
          <w:color w:val="444444"/>
        </w:rPr>
        <w:t xml:space="preserve"> Ministerio de la Producción (14 de julio de 2025). PRODUCE impulsa participación de más de 500 MYPE en la segunda edición del CYBERWOW 2025. https://www.gob.pe/institucion/produce/noticias/1208494-produce-impulsa-participacion-de-mas-de-500-mype-en-la-segunda-edicion-del-cyberwow-2025</w:t>
      </w:r>
    </w:p>
  </w:footnote>
  <w:footnote w:id="3">
    <w:p>
      <w:pPr>
        <w:pStyle w:val="FootnoteText"/>
      </w:pPr>
      <w:r>
        <w:rPr>
          <w:rStyle w:val="FootnoteReference"/>
        </w:rPr>
        <w:footnoteRef/>
      </w:r>
      <w:r>
        <w:rPr>
          <w:rStyle w:val="FootnoteTextChar"/>
          <w:rFonts w:ascii="Arial" w:hAnsi="Arial"/>
          <w:sz w:val="16"/>
          <w:color w:val="444444"/>
        </w:rPr>
        <w:t xml:space="preserve"> Instituto Nacional de Estadística e Informática (29 de septiembre de 2025). El 60,1% de los hogares tiene conexión a Internet. Nota de prensa; acceso a Internet en hogares en el segundo trimestre de 2025. https://www.gob.pe/institucion/inei/noticias/1254582-el-60-1-de-los-hogares-tiene-conexion-a-internet</w:t>
      </w:r>
    </w:p>
  </w:footnote>
  <w:footnote w:id="4">
    <w:p>
      <w:pPr>
        <w:pStyle w:val="FootnoteText"/>
      </w:pPr>
      <w:r>
        <w:rPr>
          <w:rStyle w:val="FootnoteReference"/>
        </w:rPr>
        <w:footnoteRef/>
      </w:r>
      <w:r>
        <w:rPr>
          <w:rStyle w:val="FootnoteTextChar"/>
          <w:rFonts w:ascii="Arial" w:hAnsi="Arial"/>
          <w:sz w:val="16"/>
          <w:color w:val="444444"/>
        </w:rPr>
        <w:t xml:space="preserve"> Ministerio del Ambiente (8 de noviembre de 2019). Decreto Supremo N.° 009-2019-MINAM, que aprueba el Régimen Especial de Gestión y Manejo de Residuos de Aparatos Eléctricos y Electrónicos. https://www.gob.pe/institucion/minam/normas-legales/354138-009-2019-minam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978"/>
        <w:sz w:val="16"/>
      </w:rPr>
      <w:t>STOCKFÁCIL PC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Arial" w:hAnsi="Arial"/>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42F5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rial" w:hAnsi="Arial"/>
      <w:b/>
      <w:bCs/>
      <w:color w:val="142F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FootnoteText">
    <w:name w:val="footnote text"/>
    <w:pPr>
      <w:spacing w:after="80" w:line="220" w:lineRule="auto"/>
    </w:pPr>
    <w:rPr>
      <w:rFonts w:ascii="Arial" w:hAnsi="Arial"/>
      <w:sz w:val="16"/>
    </w:rPr>
  </w:style>
  <w:style w:type="character" w:styleId="FootnoteTextChar">
    <w:name w:val="footnote text characte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StockFácil PC</dc:title>
  <dc:subject>Resumen, introducción, diagnóstico y objetivos</dc:subject>
  <dc:creator>Equipo del proyecto StockFácil PC</dc:creator>
  <cp:keywords>StockFácil PC, inventario, aplicación móvil, portal administrativo</cp:keywords>
  <dc:description>generated by python-docx</dc:description>
  <cp:lastModifiedBy/>
  <cp:revision>1</cp:revision>
  <dcterms:created xsi:type="dcterms:W3CDTF">2013-12-23T23:15:00Z</dcterms:created>
  <dcterms:modified xsi:type="dcterms:W3CDTF">2013-12-23T23:15:00Z</dcterms:modified>
  <cp:category/>
</cp:coreProperties>
</file>