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1. Comando de leituras da central</w:t>
      </w:r>
    </w:p>
    <w:p>
      <w:pPr>
        <w:pStyle w:val="Heading2"/>
      </w:pPr>
      <w:r>
        <w:t xml:space="preserve">1.1. Identificação do módulo /DieselDiag:Module identification</w:t>
      </w:r>
    </w:p>
    <w:p>
      <w:pPr>
        <w:pStyle w:val="Normal"/>
      </w:pPr>
      <w:r>
        <w:t xml:space="preserve">Este parágrafo é exemplo e não será importado.</w:t>
      </w:r>
    </w:p>
    <w:p>
      <w:pPr>
        <w:pStyle w:val="Heading2"/>
      </w:pPr>
      <w:r>
        <w:t xml:space="preserve">1.2. Número de identificação da central /DieselDiag:ECU identification</w:t>
      </w:r>
    </w:p>
    <w:p>
      <w:pPr>
        <w:pStyle w:val="Heading1"/>
      </w:pPr>
      <w:r>
        <w:t xml:space="preserve">2. Comando de leituras de sensores (medição)</w:t>
      </w:r>
    </w:p>
    <w:p>
      <w:pPr>
        <w:pStyle w:val="Heading2"/>
      </w:pPr>
      <w:r>
        <w:t xml:space="preserve">2.1. Rotação do motor /DieselDiag:Engine speed</w:t>
      </w:r>
    </w:p>
    <w:p>
      <w:pPr>
        <w:pStyle w:val="Heading2"/>
      </w:pPr>
      <w:r>
        <w:t xml:space="preserve">2.2. Temperatura do motor /DieselDiag:Engine temperature</w:t>
      </w:r>
    </w:p>
    <w:p>
      <w:pPr>
        <w:pStyle w:val="Heading1"/>
      </w:pPr>
      <w:r>
        <w:t xml:space="preserve">3. Estados</w:t>
      </w:r>
    </w:p>
    <w:p>
      <w:pPr>
        <w:pStyle w:val="Heading2"/>
      </w:pPr>
      <w:r>
        <w:t xml:space="preserve">3.1. Ignição /DieselDiag:Ignition</w:t>
      </w:r>
    </w:p>
    <w:p>
      <w:pPr>
        <w:pStyle w:val="Heading1"/>
      </w:pPr>
      <w:r>
        <w:t xml:space="preserve">4. Comando de código de falhas</w:t>
      </w:r>
    </w:p>
    <w:p>
      <w:pPr>
        <w:pStyle w:val="Heading2"/>
      </w:pPr>
      <w:r>
        <w:t xml:space="preserve">4.1. P0300 /DieselDiag:Misfire</w:t>
      </w:r>
    </w:p>
    <w:p>
      <w:pPr>
        <w:pStyle w:val="Heading1"/>
      </w:pPr>
      <w:r>
        <w:t xml:space="preserve">5. Atuadores</w:t>
      </w:r>
    </w:p>
    <w:p>
      <w:pPr>
        <w:pStyle w:val="Heading2"/>
      </w:pPr>
      <w:r>
        <w:t xml:space="preserve">5.1. Ventoinha de arrefecimento /DieselDiag:Cooling fan</w:t>
      </w:r>
    </w:p>
    <w:p>
      <w:pPr>
        <w:pStyle w:val="Heading1"/>
      </w:pPr>
      <w:r>
        <w:t xml:space="preserve">6. Ajustes</w:t>
      </w:r>
    </w:p>
    <w:p>
      <w:pPr>
        <w:pStyle w:val="Heading2"/>
      </w:pPr>
      <w:r>
        <w:t xml:space="preserve">6.1. Ajuste de marcha lenta /DieselDiag:Idle adjustment</w:t>
      </w:r>
    </w:p>
    <w:p>
      <w:pPr>
        <w:pStyle w:val="Heading1"/>
      </w:pPr>
      <w:r>
        <w:t xml:space="preserve">7. Parametrização</w:t>
      </w:r>
    </w:p>
    <w:p>
      <w:pPr>
        <w:pStyle w:val="Heading2"/>
      </w:pPr>
      <w:r>
        <w:t xml:space="preserve">7.1. Perfil do veículo /DieselDiag:Vehicle profile</w:t>
      </w:r>
    </w:p>
    <w:p>
      <w:pPr>
        <w:pStyle w:val="Heading1"/>
      </w:pPr>
      <w:r>
        <w:t xml:space="preserve">8. Funções avançadas</w:t>
      </w:r>
    </w:p>
    <w:p>
      <w:pPr>
        <w:pStyle w:val="Heading2"/>
      </w:pPr>
      <w:r>
        <w:t xml:space="preserve">8.1. Comunicação avançada /DieselDiag:Advanced communication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uiPriority w:val="9"/>
    <w:qFormat/>
    <w:pPr>
      <w:outlineLvl w:val="0"/>
    </w:pPr>
  </w:style>
  <w:style w:type="paragraph" w:styleId="Heading2">
    <w:name w:val="heading 2"/>
    <w:basedOn w:val="Normal"/>
    <w:uiPriority w:val="9"/>
    <w:qFormat/>
    <w:pPr>
      <w:outlineLvl w:val="1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