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Noway" w:hAnsi="Noway" w:eastAsia="Noway" w:cs="Noway"/>
          <w:color w:val="000000"/>
          <w:sz w:val="40"/>
          <w:szCs w:val="40"/>
          <w:b/>
        </w:rPr>
        <w:t xml:space="preserve">Safety measures</w:t>
      </w:r>
    </w:p>
    <w:p/>
    <w:p>
      <w:pPr/>
      <w:r>
        <w:rPr>
          <w:rFonts w:ascii="Noway" w:hAnsi="Noway" w:eastAsia="Noway" w:cs="Noway"/>
          <w:color w:val="000000"/>
          <w:sz w:val="26"/>
          <w:szCs w:val="26"/>
        </w:rPr>
        <w:t xml:space="preserve">Bla bla bla nbla</w:t>
      </w:r>
    </w:p>
    <w:p/>
    <w:sectPr>
      <w:head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0px; height:30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2018-07-12T10:46:32+02:00</dcterms:created>
  <dcterms:modified xsi:type="dcterms:W3CDTF">2018-07-12T10:46:32+02:00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