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34" w:rsidRPr="00751C34" w:rsidRDefault="00751C34" w:rsidP="00751C34">
      <w:pPr>
        <w:pStyle w:val="SemEspaamento"/>
        <w:rPr>
          <w:rFonts w:ascii="Arial" w:hAnsi="Arial" w:cs="Arial"/>
        </w:rPr>
      </w:pPr>
      <w:r w:rsidRPr="00751C34">
        <w:rPr>
          <w:rFonts w:ascii="Arial" w:hAnsi="Arial" w:cs="Arial"/>
        </w:rPr>
        <w:t>O planejamento é fundamental para o bom desempenho de toda a organização, o que envolve todos os setores da empresa. Um em especial ganhou ainda mais importância com a transformação digital, o de tecnologia da informação, que ganhou uma área de governança para chamar de sua.</w:t>
      </w:r>
    </w:p>
    <w:p w:rsidR="00751C34" w:rsidRPr="00751C34" w:rsidRDefault="00751C34" w:rsidP="00751C34">
      <w:pPr>
        <w:pStyle w:val="SemEspaamento"/>
        <w:rPr>
          <w:rFonts w:ascii="Arial" w:hAnsi="Arial" w:cs="Arial"/>
        </w:rPr>
      </w:pPr>
      <w:r w:rsidRPr="00751C34">
        <w:rPr>
          <w:rFonts w:ascii="Arial" w:hAnsi="Arial" w:cs="Arial"/>
        </w:rPr>
        <w:t xml:space="preserve">Assim como a governança corporativa, a governança de TI deve seguir protocolos que garantam a </w:t>
      </w:r>
      <w:proofErr w:type="gramStart"/>
      <w:r w:rsidRPr="00751C34">
        <w:rPr>
          <w:rFonts w:ascii="Arial" w:hAnsi="Arial" w:cs="Arial"/>
        </w:rPr>
        <w:t>otimização</w:t>
      </w:r>
      <w:proofErr w:type="gramEnd"/>
      <w:r w:rsidRPr="00751C34">
        <w:rPr>
          <w:rFonts w:ascii="Arial" w:hAnsi="Arial" w:cs="Arial"/>
        </w:rPr>
        <w:t xml:space="preserve"> de recursos e o alinhamento dos processos aos objetivos de negócio. O framework mais utilizado é o COBIT, que você conhecerá com mais detalhes aqui. Antes, vamos falar um pouco sobre o papel da governança de TI.</w:t>
      </w:r>
    </w:p>
    <w:p w:rsidR="00751C34" w:rsidRPr="00751C34" w:rsidRDefault="00751C34" w:rsidP="00751C34">
      <w:pPr>
        <w:pStyle w:val="SemEspaamento"/>
        <w:rPr>
          <w:rFonts w:ascii="Arial" w:hAnsi="Arial" w:cs="Arial"/>
        </w:rPr>
      </w:pP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b/>
          <w:bCs/>
          <w:lang w:eastAsia="pt-BR"/>
        </w:rPr>
      </w:pPr>
      <w:r w:rsidRPr="00751C34">
        <w:rPr>
          <w:rFonts w:ascii="Arial" w:eastAsia="Times New Roman" w:hAnsi="Arial" w:cs="Arial"/>
          <w:b/>
          <w:bCs/>
          <w:lang w:eastAsia="pt-BR"/>
        </w:rPr>
        <w:t>O que é governança de TI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A governança de TI é um conjunto de normas e práticas definido por cada organização para seu departamento de tecnologia de informação. Esses parâmetros determinam as responsabilidades de cada setor e os resultados esperados para cada uma das atividades executadas pelas equipes.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Na prática, a governança de TI define o orçamento para o setor de tecnologia da empresa, verifica se as normas e políticas estão sendo seguidas pelos colaboradores e dá suporte à tomada de decisões para quem ocupa cargos de chefia.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b/>
          <w:bCs/>
          <w:color w:val="F11758"/>
          <w:bdr w:val="single" w:sz="2" w:space="0" w:color="333333" w:frame="1"/>
          <w:lang w:eastAsia="pt-BR"/>
        </w:rPr>
        <w:t>&gt;&gt;&gt;</w:t>
      </w:r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> </w:t>
      </w:r>
      <w:hyperlink r:id="rId5" w:history="1">
        <w:r w:rsidRPr="00751C34">
          <w:rPr>
            <w:rFonts w:ascii="Arial" w:eastAsia="Times New Roman" w:hAnsi="Arial" w:cs="Arial"/>
            <w:color w:val="0000FF"/>
            <w:u w:val="single"/>
            <w:lang w:eastAsia="pt-BR"/>
          </w:rPr>
          <w:t xml:space="preserve">Saiba mais sobre governança de TI neste </w:t>
        </w:r>
        <w:proofErr w:type="gramStart"/>
        <w:r w:rsidRPr="00751C34">
          <w:rPr>
            <w:rFonts w:ascii="Arial" w:eastAsia="Times New Roman" w:hAnsi="Arial" w:cs="Arial"/>
            <w:color w:val="0000FF"/>
            <w:u w:val="single"/>
            <w:lang w:eastAsia="pt-BR"/>
          </w:rPr>
          <w:t>artigo.</w:t>
        </w:r>
        <w:proofErr w:type="gramEnd"/>
      </w:hyperlink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b/>
          <w:bCs/>
          <w:lang w:eastAsia="pt-BR"/>
        </w:rPr>
      </w:pPr>
      <w:r w:rsidRPr="00751C34">
        <w:rPr>
          <w:rFonts w:ascii="Arial" w:eastAsia="Times New Roman" w:hAnsi="Arial" w:cs="Arial"/>
          <w:b/>
          <w:bCs/>
          <w:lang w:eastAsia="pt-BR"/>
        </w:rPr>
        <w:t>O que é COBIT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br/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 xml:space="preserve">Sigla para </w:t>
      </w:r>
      <w:proofErr w:type="spellStart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>Control</w:t>
      </w:r>
      <w:proofErr w:type="spellEnd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 xml:space="preserve"> </w:t>
      </w:r>
      <w:proofErr w:type="spellStart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>Objectives</w:t>
      </w:r>
      <w:proofErr w:type="spellEnd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 xml:space="preserve"> for </w:t>
      </w:r>
      <w:proofErr w:type="spellStart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>Information</w:t>
      </w:r>
      <w:proofErr w:type="spellEnd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 xml:space="preserve"> </w:t>
      </w:r>
      <w:proofErr w:type="spellStart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>and</w:t>
      </w:r>
      <w:proofErr w:type="spellEnd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 xml:space="preserve"> </w:t>
      </w:r>
      <w:proofErr w:type="spellStart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>related</w:t>
      </w:r>
      <w:proofErr w:type="spellEnd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 xml:space="preserve"> </w:t>
      </w:r>
      <w:proofErr w:type="spellStart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>Technology</w:t>
      </w:r>
      <w:proofErr w:type="spellEnd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 xml:space="preserve">, o COBIT é um framework de gerenciamento de TI usado por empresas para desenvolver, organizar e </w:t>
      </w:r>
      <w:proofErr w:type="gramStart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>implementar</w:t>
      </w:r>
      <w:proofErr w:type="gramEnd"/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 xml:space="preserve"> estratégias de gestão de informação e governança. Ele reúne diretrizes de gerenciamento e controle dos elementos que compõem a governança, que são: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br/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Processos;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Práticas;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Modelos;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Princípios;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Pessoas;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Informações;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proofErr w:type="spellStart"/>
      <w:r w:rsidRPr="00751C34">
        <w:rPr>
          <w:rFonts w:ascii="Arial" w:eastAsia="Times New Roman" w:hAnsi="Arial" w:cs="Arial"/>
          <w:lang w:eastAsia="pt-BR"/>
        </w:rPr>
        <w:t>Infraestrutura</w:t>
      </w:r>
      <w:proofErr w:type="spellEnd"/>
      <w:r w:rsidRPr="00751C34">
        <w:rPr>
          <w:rFonts w:ascii="Arial" w:eastAsia="Times New Roman" w:hAnsi="Arial" w:cs="Arial"/>
          <w:lang w:eastAsia="pt-BR"/>
        </w:rPr>
        <w:t>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Aplicativos;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Estruturas organizacionais.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b/>
          <w:bCs/>
          <w:lang w:eastAsia="pt-BR"/>
        </w:rPr>
      </w:pPr>
      <w:r w:rsidRPr="00751C34">
        <w:rPr>
          <w:rFonts w:ascii="Arial" w:eastAsia="Times New Roman" w:hAnsi="Arial" w:cs="Arial"/>
          <w:b/>
          <w:bCs/>
          <w:lang w:eastAsia="pt-BR"/>
        </w:rPr>
        <w:t>Os princípios do COBIT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 xml:space="preserve">O COBIT foi desenvolvido pela </w:t>
      </w:r>
      <w:proofErr w:type="spellStart"/>
      <w:r w:rsidRPr="00751C34">
        <w:rPr>
          <w:rFonts w:ascii="Arial" w:eastAsia="Times New Roman" w:hAnsi="Arial" w:cs="Arial"/>
          <w:lang w:eastAsia="pt-BR"/>
        </w:rPr>
        <w:t>Information</w:t>
      </w:r>
      <w:proofErr w:type="spellEnd"/>
      <w:r w:rsidRPr="00751C34">
        <w:rPr>
          <w:rFonts w:ascii="Arial" w:eastAsia="Times New Roman" w:hAnsi="Arial" w:cs="Arial"/>
          <w:lang w:eastAsia="pt-BR"/>
        </w:rPr>
        <w:t xml:space="preserve"> Systems </w:t>
      </w:r>
      <w:proofErr w:type="spellStart"/>
      <w:r w:rsidRPr="00751C34">
        <w:rPr>
          <w:rFonts w:ascii="Arial" w:eastAsia="Times New Roman" w:hAnsi="Arial" w:cs="Arial"/>
          <w:lang w:eastAsia="pt-BR"/>
        </w:rPr>
        <w:t>Audit</w:t>
      </w:r>
      <w:proofErr w:type="spellEnd"/>
      <w:r w:rsidRPr="00751C34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751C34">
        <w:rPr>
          <w:rFonts w:ascii="Arial" w:eastAsia="Times New Roman" w:hAnsi="Arial" w:cs="Arial"/>
          <w:lang w:eastAsia="pt-BR"/>
        </w:rPr>
        <w:t>and</w:t>
      </w:r>
      <w:proofErr w:type="spellEnd"/>
      <w:r w:rsidRPr="00751C34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751C34">
        <w:rPr>
          <w:rFonts w:ascii="Arial" w:eastAsia="Times New Roman" w:hAnsi="Arial" w:cs="Arial"/>
          <w:lang w:eastAsia="pt-BR"/>
        </w:rPr>
        <w:t>Control</w:t>
      </w:r>
      <w:proofErr w:type="spellEnd"/>
      <w:r w:rsidRPr="00751C34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751C34">
        <w:rPr>
          <w:rFonts w:ascii="Arial" w:eastAsia="Times New Roman" w:hAnsi="Arial" w:cs="Arial"/>
          <w:lang w:eastAsia="pt-BR"/>
        </w:rPr>
        <w:t>Association</w:t>
      </w:r>
      <w:proofErr w:type="spellEnd"/>
      <w:r w:rsidRPr="00751C34">
        <w:rPr>
          <w:rFonts w:ascii="Arial" w:eastAsia="Times New Roman" w:hAnsi="Arial" w:cs="Arial"/>
          <w:lang w:eastAsia="pt-BR"/>
        </w:rPr>
        <w:t xml:space="preserve"> (ISACA) em 1996, inicialmente para ajudar auditores financeiros a lidarem com ambientes de TI. A versão mais recente, o COBIT 2019, apresenta dois conjuntos de princípios. O primeiro trata sobre o sistema de governança, que deve seguir </w:t>
      </w:r>
      <w:proofErr w:type="gramStart"/>
      <w:r w:rsidRPr="00751C34">
        <w:rPr>
          <w:rFonts w:ascii="Arial" w:eastAsia="Times New Roman" w:hAnsi="Arial" w:cs="Arial"/>
          <w:lang w:eastAsia="pt-BR"/>
        </w:rPr>
        <w:t>6</w:t>
      </w:r>
      <w:proofErr w:type="gramEnd"/>
      <w:r w:rsidRPr="00751C34">
        <w:rPr>
          <w:rFonts w:ascii="Arial" w:eastAsia="Times New Roman" w:hAnsi="Arial" w:cs="Arial"/>
          <w:lang w:eastAsia="pt-BR"/>
        </w:rPr>
        <w:t xml:space="preserve"> diretrizes: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Prover valor para as partes interessadas;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Abordagem holística;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Sistema de governança dinâmico;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Governança distinta do gerenciamento;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Adaptar-se às necessidades da empresa;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 xml:space="preserve">Sistema de governança </w:t>
      </w:r>
      <w:proofErr w:type="spellStart"/>
      <w:r w:rsidRPr="00751C34">
        <w:rPr>
          <w:rFonts w:ascii="Arial" w:eastAsia="Times New Roman" w:hAnsi="Arial" w:cs="Arial"/>
          <w:lang w:eastAsia="pt-BR"/>
        </w:rPr>
        <w:t>fim-a-fim</w:t>
      </w:r>
      <w:proofErr w:type="spellEnd"/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O COBIT 2019 define princípios para um framework de governança no segundo conjunto: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Baseado em um modelo conceitual;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Aberto e flexível;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Alinhado com principais padrões.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b/>
          <w:bCs/>
          <w:lang w:eastAsia="pt-BR"/>
        </w:rPr>
      </w:pPr>
      <w:r w:rsidRPr="00751C34">
        <w:rPr>
          <w:rFonts w:ascii="Arial" w:eastAsia="Times New Roman" w:hAnsi="Arial" w:cs="Arial"/>
          <w:b/>
          <w:bCs/>
          <w:lang w:eastAsia="pt-BR"/>
        </w:rPr>
        <w:t>Áreas de foco do COBIT 2019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lastRenderedPageBreak/>
        <w:t xml:space="preserve">Além de princípios, o COBIT </w:t>
      </w:r>
      <w:proofErr w:type="gramStart"/>
      <w:r w:rsidRPr="00751C34">
        <w:rPr>
          <w:rFonts w:ascii="Arial" w:eastAsia="Times New Roman" w:hAnsi="Arial" w:cs="Arial"/>
          <w:lang w:eastAsia="pt-BR"/>
        </w:rPr>
        <w:t>2019 lista</w:t>
      </w:r>
      <w:proofErr w:type="gramEnd"/>
      <w:r w:rsidRPr="00751C34">
        <w:rPr>
          <w:rFonts w:ascii="Arial" w:eastAsia="Times New Roman" w:hAnsi="Arial" w:cs="Arial"/>
          <w:lang w:eastAsia="pt-BR"/>
        </w:rPr>
        <w:t xml:space="preserve"> áreas ou temas que merecem receber maiores esforços de governança dentro de uma empresa, independentemente do setor e do porte.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As principais áreas de foco do COBIT 2019 são: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hyperlink r:id="rId6" w:history="1">
        <w:r w:rsidRPr="00751C34">
          <w:rPr>
            <w:rFonts w:ascii="Arial" w:eastAsia="Times New Roman" w:hAnsi="Arial" w:cs="Arial"/>
            <w:color w:val="0000FF"/>
            <w:u w:val="single"/>
            <w:lang w:eastAsia="pt-BR"/>
          </w:rPr>
          <w:t>Segurança cibernética</w:t>
        </w:r>
      </w:hyperlink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hyperlink r:id="rId7" w:history="1">
        <w:r w:rsidRPr="00751C34">
          <w:rPr>
            <w:rFonts w:ascii="Arial" w:eastAsia="Times New Roman" w:hAnsi="Arial" w:cs="Arial"/>
            <w:color w:val="0000FF"/>
            <w:u w:val="single"/>
            <w:lang w:eastAsia="pt-BR"/>
          </w:rPr>
          <w:t>Computação em nuvem</w:t>
        </w:r>
      </w:hyperlink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Privacidade de dados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Transformação digital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hyperlink r:id="rId8" w:history="1">
        <w:proofErr w:type="spellStart"/>
        <w:proofErr w:type="gramStart"/>
        <w:r w:rsidRPr="00751C34">
          <w:rPr>
            <w:rFonts w:ascii="Arial" w:eastAsia="Times New Roman" w:hAnsi="Arial" w:cs="Arial"/>
            <w:color w:val="0000FF"/>
            <w:u w:val="single"/>
            <w:lang w:eastAsia="pt-BR"/>
          </w:rPr>
          <w:t>DevOps</w:t>
        </w:r>
        <w:proofErr w:type="spellEnd"/>
        <w:proofErr w:type="gramEnd"/>
      </w:hyperlink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Pequenas e médias empresas (SMB)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b/>
          <w:bCs/>
          <w:lang w:eastAsia="pt-BR"/>
        </w:rPr>
      </w:pPr>
      <w:r w:rsidRPr="00751C34">
        <w:rPr>
          <w:rFonts w:ascii="Arial" w:eastAsia="Times New Roman" w:hAnsi="Arial" w:cs="Arial"/>
          <w:b/>
          <w:bCs/>
          <w:lang w:eastAsia="pt-BR"/>
        </w:rPr>
        <w:t>Fatores de desenho do COBIT 2019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Os fatores de desenho são parâmetros que ajudam a construir o sistema de governança de TI de uma empresa. São 11 ao todo: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Estratégia empresarial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Metas empresariais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Perfil de risco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Questões relacionadas à Tecnologia e informação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Cenário de ameaças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Requisitos de conformidade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Papel da TI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 xml:space="preserve">Modelo de </w:t>
      </w:r>
      <w:proofErr w:type="spellStart"/>
      <w:r w:rsidRPr="00751C34">
        <w:rPr>
          <w:rFonts w:ascii="Arial" w:eastAsia="Times New Roman" w:hAnsi="Arial" w:cs="Arial"/>
          <w:lang w:eastAsia="pt-BR"/>
        </w:rPr>
        <w:t>sourcing</w:t>
      </w:r>
      <w:proofErr w:type="spellEnd"/>
      <w:r w:rsidRPr="00751C34">
        <w:rPr>
          <w:rFonts w:ascii="Arial" w:eastAsia="Times New Roman" w:hAnsi="Arial" w:cs="Arial"/>
          <w:lang w:eastAsia="pt-BR"/>
        </w:rPr>
        <w:t xml:space="preserve"> para a TI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 xml:space="preserve">Métodos de </w:t>
      </w:r>
      <w:proofErr w:type="gramStart"/>
      <w:r w:rsidRPr="00751C34">
        <w:rPr>
          <w:rFonts w:ascii="Arial" w:eastAsia="Times New Roman" w:hAnsi="Arial" w:cs="Arial"/>
          <w:lang w:eastAsia="pt-BR"/>
        </w:rPr>
        <w:t>implementação</w:t>
      </w:r>
      <w:proofErr w:type="gramEnd"/>
      <w:r w:rsidRPr="00751C34">
        <w:rPr>
          <w:rFonts w:ascii="Arial" w:eastAsia="Times New Roman" w:hAnsi="Arial" w:cs="Arial"/>
          <w:lang w:eastAsia="pt-BR"/>
        </w:rPr>
        <w:t xml:space="preserve"> da TI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Estratégia de adoção de tecnologias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Tamanho da empresa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Se você quer aprofundar ainda mais seu conhecimento em governança de TI, o curso </w:t>
      </w:r>
      <w:hyperlink r:id="rId9" w:history="1">
        <w:r w:rsidRPr="00751C34">
          <w:rPr>
            <w:rFonts w:ascii="Arial" w:eastAsia="Times New Roman" w:hAnsi="Arial" w:cs="Arial"/>
            <w:b/>
            <w:bCs/>
            <w:color w:val="0000FF"/>
            <w:u w:val="single"/>
            <w:lang w:eastAsia="pt-BR"/>
          </w:rPr>
          <w:t>Governança de TI, Segurança Digital e Gestão de Dados</w:t>
        </w:r>
        <w:r w:rsidRPr="00751C34">
          <w:rPr>
            <w:rFonts w:ascii="Arial" w:eastAsia="Times New Roman" w:hAnsi="Arial" w:cs="Arial"/>
            <w:color w:val="0000FF"/>
            <w:u w:val="single"/>
            <w:lang w:eastAsia="pt-BR"/>
          </w:rPr>
          <w:t> </w:t>
        </w:r>
      </w:hyperlink>
      <w:r w:rsidRPr="00751C34">
        <w:rPr>
          <w:rFonts w:ascii="Arial" w:eastAsia="Times New Roman" w:hAnsi="Arial" w:cs="Arial"/>
          <w:lang w:eastAsia="pt-BR"/>
        </w:rPr>
        <w:t>da </w:t>
      </w:r>
      <w:r w:rsidRPr="00751C34">
        <w:rPr>
          <w:rFonts w:ascii="Arial" w:eastAsia="Times New Roman" w:hAnsi="Arial" w:cs="Arial"/>
          <w:b/>
          <w:bCs/>
          <w:bdr w:val="single" w:sz="2" w:space="0" w:color="333333" w:frame="1"/>
          <w:lang w:eastAsia="pt-BR"/>
        </w:rPr>
        <w:t>Pós PUCPR Digital</w:t>
      </w:r>
      <w:r w:rsidRPr="00751C34">
        <w:rPr>
          <w:rFonts w:ascii="Arial" w:eastAsia="Times New Roman" w:hAnsi="Arial" w:cs="Arial"/>
          <w:lang w:eastAsia="pt-BR"/>
        </w:rPr>
        <w:t> irá ajudá-lo a se destacar na carreira de tecnologia. O curso conta com uma disciplina que trata apenas do COBIT. Saiba mais sobre a pós-graduação.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b/>
          <w:bCs/>
          <w:lang w:eastAsia="pt-BR"/>
        </w:rPr>
      </w:pPr>
      <w:r w:rsidRPr="00751C34">
        <w:rPr>
          <w:rFonts w:ascii="Arial" w:eastAsia="Times New Roman" w:hAnsi="Arial" w:cs="Arial"/>
          <w:b/>
          <w:bCs/>
          <w:lang w:eastAsia="pt-BR"/>
        </w:rPr>
        <w:t>A história do COBIT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 xml:space="preserve">A ISACA lançou </w:t>
      </w:r>
      <w:proofErr w:type="gramStart"/>
      <w:r w:rsidRPr="00751C34">
        <w:rPr>
          <w:rFonts w:ascii="Arial" w:eastAsia="Times New Roman" w:hAnsi="Arial" w:cs="Arial"/>
          <w:lang w:eastAsia="pt-BR"/>
        </w:rPr>
        <w:t>6</w:t>
      </w:r>
      <w:proofErr w:type="gramEnd"/>
      <w:r w:rsidRPr="00751C34">
        <w:rPr>
          <w:rFonts w:ascii="Arial" w:eastAsia="Times New Roman" w:hAnsi="Arial" w:cs="Arial"/>
          <w:lang w:eastAsia="pt-BR"/>
        </w:rPr>
        <w:t xml:space="preserve"> versões do COBIT até agora, sendo a primeira em 1996. Lançada em 1998, a segunda versão expandiu a metodologia para além da auditoria. O COBIT </w:t>
      </w:r>
      <w:proofErr w:type="gramStart"/>
      <w:r w:rsidRPr="00751C34">
        <w:rPr>
          <w:rFonts w:ascii="Arial" w:eastAsia="Times New Roman" w:hAnsi="Arial" w:cs="Arial"/>
          <w:lang w:eastAsia="pt-BR"/>
        </w:rPr>
        <w:t>3</w:t>
      </w:r>
      <w:proofErr w:type="gramEnd"/>
      <w:r w:rsidRPr="00751C34">
        <w:rPr>
          <w:rFonts w:ascii="Arial" w:eastAsia="Times New Roman" w:hAnsi="Arial" w:cs="Arial"/>
          <w:lang w:eastAsia="pt-BR"/>
        </w:rPr>
        <w:t xml:space="preserve"> veio em 2000, com a inclusão de técnicas de gerenciamento de TI e controle de informações, que continuam no modelo mais recente.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 xml:space="preserve">No COBIT </w:t>
      </w:r>
      <w:proofErr w:type="gramStart"/>
      <w:r w:rsidRPr="00751C34">
        <w:rPr>
          <w:rFonts w:ascii="Arial" w:eastAsia="Times New Roman" w:hAnsi="Arial" w:cs="Arial"/>
          <w:lang w:eastAsia="pt-BR"/>
        </w:rPr>
        <w:t>4</w:t>
      </w:r>
      <w:proofErr w:type="gramEnd"/>
      <w:r w:rsidRPr="00751C34">
        <w:rPr>
          <w:rFonts w:ascii="Arial" w:eastAsia="Times New Roman" w:hAnsi="Arial" w:cs="Arial"/>
          <w:lang w:eastAsia="pt-BR"/>
        </w:rPr>
        <w:t xml:space="preserve"> e 4.1, lançados em 2005 e 2007, a ISACA incorporou práticas de governança de TI ao framework. Em 2012, o COBIT </w:t>
      </w:r>
      <w:proofErr w:type="gramStart"/>
      <w:r w:rsidRPr="00751C34">
        <w:rPr>
          <w:rFonts w:ascii="Arial" w:eastAsia="Times New Roman" w:hAnsi="Arial" w:cs="Arial"/>
          <w:lang w:eastAsia="pt-BR"/>
        </w:rPr>
        <w:t>5</w:t>
      </w:r>
      <w:proofErr w:type="gramEnd"/>
      <w:r w:rsidRPr="00751C34">
        <w:rPr>
          <w:rFonts w:ascii="Arial" w:eastAsia="Times New Roman" w:hAnsi="Arial" w:cs="Arial"/>
          <w:lang w:eastAsia="pt-BR"/>
        </w:rPr>
        <w:t xml:space="preserve"> foi disponibilizado para as empresas com a integração de quadros e recursos da Biblioteca de </w:t>
      </w:r>
      <w:proofErr w:type="spellStart"/>
      <w:r w:rsidRPr="00751C34">
        <w:rPr>
          <w:rFonts w:ascii="Arial" w:eastAsia="Times New Roman" w:hAnsi="Arial" w:cs="Arial"/>
          <w:lang w:eastAsia="pt-BR"/>
        </w:rPr>
        <w:t>Infraestrutura</w:t>
      </w:r>
      <w:proofErr w:type="spellEnd"/>
      <w:r w:rsidRPr="00751C34">
        <w:rPr>
          <w:rFonts w:ascii="Arial" w:eastAsia="Times New Roman" w:hAnsi="Arial" w:cs="Arial"/>
          <w:lang w:eastAsia="pt-BR"/>
        </w:rPr>
        <w:t xml:space="preserve"> da Tecnologia de Informação (ITIL), além de ter incorporado padrões da Organização Internacional de Padronização (ISO). Ele ganhou um complemento no ano seguinte.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A versão mais atualizada do framework da ISACA é o COBIT 2019, que trouxe orientações para criar estratégias de governança de TI mais flexíveis, colaborativas e adequadas aos últimos avanços tecnológicos.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b/>
          <w:bCs/>
          <w:lang w:eastAsia="pt-BR"/>
        </w:rPr>
      </w:pPr>
      <w:r w:rsidRPr="00751C34">
        <w:rPr>
          <w:rFonts w:ascii="Arial" w:eastAsia="Times New Roman" w:hAnsi="Arial" w:cs="Arial"/>
          <w:b/>
          <w:bCs/>
          <w:lang w:eastAsia="pt-BR"/>
        </w:rPr>
        <w:t>O que mudou com o COBIT 2019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 xml:space="preserve">A principal mudança do COBIT 2019 em relação ao COBIT </w:t>
      </w:r>
      <w:proofErr w:type="gramStart"/>
      <w:r w:rsidRPr="00751C34">
        <w:rPr>
          <w:rFonts w:ascii="Arial" w:eastAsia="Times New Roman" w:hAnsi="Arial" w:cs="Arial"/>
          <w:lang w:eastAsia="pt-BR"/>
        </w:rPr>
        <w:t>5</w:t>
      </w:r>
      <w:proofErr w:type="gramEnd"/>
      <w:r w:rsidRPr="00751C34">
        <w:rPr>
          <w:rFonts w:ascii="Arial" w:eastAsia="Times New Roman" w:hAnsi="Arial" w:cs="Arial"/>
          <w:lang w:eastAsia="pt-BR"/>
        </w:rPr>
        <w:t xml:space="preserve"> é uma definição mais clara do que é (e do que não é) o modelo proposto pela ISACA: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 xml:space="preserve">O COBIT 2019 é </w:t>
      </w:r>
      <w:proofErr w:type="gramStart"/>
      <w:r w:rsidRPr="00751C34">
        <w:rPr>
          <w:rFonts w:ascii="Arial" w:eastAsia="Times New Roman" w:hAnsi="Arial" w:cs="Arial"/>
          <w:lang w:eastAsia="pt-BR"/>
        </w:rPr>
        <w:t>um framework para governança e gerenciamento de TI corporativa em toda a organização</w:t>
      </w:r>
      <w:proofErr w:type="gramEnd"/>
      <w:r w:rsidRPr="00751C34">
        <w:rPr>
          <w:rFonts w:ascii="Arial" w:eastAsia="Times New Roman" w:hAnsi="Arial" w:cs="Arial"/>
          <w:lang w:eastAsia="pt-BR"/>
        </w:rPr>
        <w:t>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O COBIT 2019 NÃO É um framework de organização de processos de negócios, gerenciamento de tecnologia, tomada de decisões relacionadas a TI, estabelecimento de estratégias e de arquitetura de TI.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b/>
          <w:bCs/>
          <w:color w:val="F11758"/>
          <w:bdr w:val="single" w:sz="2" w:space="0" w:color="333333" w:frame="1"/>
          <w:lang w:eastAsia="pt-BR"/>
        </w:rPr>
        <w:t>&gt;&gt;&gt;</w:t>
      </w:r>
      <w:r w:rsidRPr="00751C34">
        <w:rPr>
          <w:rFonts w:ascii="Arial" w:eastAsia="Times New Roman" w:hAnsi="Arial" w:cs="Arial"/>
          <w:bdr w:val="single" w:sz="2" w:space="0" w:color="333333" w:frame="1"/>
          <w:lang w:eastAsia="pt-BR"/>
        </w:rPr>
        <w:t> </w:t>
      </w:r>
      <w:hyperlink r:id="rId10" w:history="1">
        <w:r w:rsidRPr="00751C34">
          <w:rPr>
            <w:rFonts w:ascii="Arial" w:eastAsia="Times New Roman" w:hAnsi="Arial" w:cs="Arial"/>
            <w:color w:val="0000FF"/>
            <w:u w:val="single"/>
            <w:lang w:eastAsia="pt-BR"/>
          </w:rPr>
          <w:t xml:space="preserve">Saiba mais sobre o mercado de TI e arquitetura de </w:t>
        </w:r>
        <w:proofErr w:type="gramStart"/>
        <w:r w:rsidRPr="00751C34">
          <w:rPr>
            <w:rFonts w:ascii="Arial" w:eastAsia="Times New Roman" w:hAnsi="Arial" w:cs="Arial"/>
            <w:color w:val="0000FF"/>
            <w:u w:val="single"/>
            <w:lang w:eastAsia="pt-BR"/>
          </w:rPr>
          <w:t>software.</w:t>
        </w:r>
        <w:proofErr w:type="gramEnd"/>
      </w:hyperlink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t>O COBIT 2019 traz 40 objetivos de governança e gerenciamento, além de estar integrado a outros frameworks como ITIL, CMMI e TOGAF. Ainda, ele 2019 dá mais liberdade para as empresas personalizarem as estratégias de governança de TI, ao incluir medições de maturidade e capacidade no sistema de gerenciamento de desempenho.</w:t>
      </w:r>
    </w:p>
    <w:p w:rsidR="00751C34" w:rsidRPr="00751C34" w:rsidRDefault="00751C34" w:rsidP="00751C34">
      <w:pPr>
        <w:pStyle w:val="SemEspaamento"/>
        <w:rPr>
          <w:rFonts w:ascii="Arial" w:eastAsia="Times New Roman" w:hAnsi="Arial" w:cs="Arial"/>
          <w:lang w:eastAsia="pt-BR"/>
        </w:rPr>
      </w:pPr>
      <w:r w:rsidRPr="00751C34">
        <w:rPr>
          <w:rFonts w:ascii="Arial" w:eastAsia="Times New Roman" w:hAnsi="Arial" w:cs="Arial"/>
          <w:lang w:eastAsia="pt-BR"/>
        </w:rPr>
        <w:lastRenderedPageBreak/>
        <w:t xml:space="preserve">A atualização também apresentou o conceito de "área de foco" para descrever questões específicas relacionadas aos objetivos de gerenciamento ou governança de TI, como segurança cibernética, transformação digital e </w:t>
      </w:r>
      <w:proofErr w:type="spellStart"/>
      <w:r w:rsidRPr="00751C34">
        <w:rPr>
          <w:rFonts w:ascii="Arial" w:eastAsia="Times New Roman" w:hAnsi="Arial" w:cs="Arial"/>
          <w:lang w:eastAsia="pt-BR"/>
        </w:rPr>
        <w:t>cloud</w:t>
      </w:r>
      <w:proofErr w:type="spellEnd"/>
      <w:r w:rsidRPr="00751C34">
        <w:rPr>
          <w:rFonts w:ascii="Arial" w:eastAsia="Times New Roman" w:hAnsi="Arial" w:cs="Arial"/>
          <w:lang w:eastAsia="pt-BR"/>
        </w:rPr>
        <w:t xml:space="preserve"> computing.</w:t>
      </w:r>
    </w:p>
    <w:p w:rsidR="007C30CD" w:rsidRPr="00751C34" w:rsidRDefault="00751C34" w:rsidP="00751C34">
      <w:pPr>
        <w:pStyle w:val="SemEspaamento"/>
        <w:rPr>
          <w:rFonts w:ascii="Arial" w:hAnsi="Arial" w:cs="Arial"/>
        </w:rPr>
      </w:pPr>
    </w:p>
    <w:sectPr w:rsidR="007C30CD" w:rsidRPr="00751C34" w:rsidSect="00B80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24984"/>
    <w:multiLevelType w:val="multilevel"/>
    <w:tmpl w:val="0CD6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401CCE"/>
    <w:multiLevelType w:val="multilevel"/>
    <w:tmpl w:val="9576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2B2696"/>
    <w:multiLevelType w:val="multilevel"/>
    <w:tmpl w:val="A10A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A30EBC"/>
    <w:multiLevelType w:val="multilevel"/>
    <w:tmpl w:val="EB86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8324C4"/>
    <w:multiLevelType w:val="multilevel"/>
    <w:tmpl w:val="5860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1C34"/>
    <w:rsid w:val="00751C34"/>
    <w:rsid w:val="00B802A4"/>
    <w:rsid w:val="00B87CE0"/>
    <w:rsid w:val="00DC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A4"/>
  </w:style>
  <w:style w:type="paragraph" w:styleId="Ttulo2">
    <w:name w:val="heading 2"/>
    <w:basedOn w:val="Normal"/>
    <w:link w:val="Ttulo2Char"/>
    <w:uiPriority w:val="9"/>
    <w:qFormat/>
    <w:rsid w:val="00751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1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1C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1C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1C34"/>
    <w:rPr>
      <w:color w:val="0000FF"/>
      <w:u w:val="single"/>
    </w:rPr>
  </w:style>
  <w:style w:type="paragraph" w:styleId="SemEspaamento">
    <w:name w:val="No Spacing"/>
    <w:uiPriority w:val="1"/>
    <w:qFormat/>
    <w:rsid w:val="00751C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286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377701479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901330584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2066097424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79903677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  <w:divsChild>
            <w:div w:id="1533882512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  <w:div w:id="135880427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982496158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  <w:divsChild>
            <w:div w:id="664236907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  <w:div w:id="826363324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531772043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  <w:divsChild>
            <w:div w:id="766848141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  <w:div w:id="369692661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045445736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747193963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  <w:divsChild>
            <w:div w:id="427623208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  <w:div w:id="437411365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854608796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  <w:divsChild>
            <w:div w:id="1413742721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  <w:div w:id="417410726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428354371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177844116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396003430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718089244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453478544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  <w:divsChild>
            <w:div w:id="65424945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  <w:divsChild>
                <w:div w:id="13337988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single" w:sz="2" w:space="0" w:color="333333"/>
                    <w:left w:val="single" w:sz="2" w:space="0" w:color="333333"/>
                    <w:bottom w:val="single" w:sz="2" w:space="0" w:color="333333"/>
                    <w:right w:val="single" w:sz="2" w:space="0" w:color="333333"/>
                  </w:divBdr>
                </w:div>
              </w:divsChild>
            </w:div>
          </w:divsChild>
        </w:div>
        <w:div w:id="1809011641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327295503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867303594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37186085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</w:divsChild>
    </w:div>
    <w:div w:id="2146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667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  <w:div w:id="152724524">
          <w:marLeft w:val="0"/>
          <w:marRight w:val="0"/>
          <w:marTop w:val="0"/>
          <w:marBottom w:val="586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digital.pucpr.br/blog/dev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digital.pucpr.br/blog/migracao-para-cloud-compu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digital.pucpr.br/blog/ataques-cibernetic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sdigital.pucpr.br/blog/governanca-de-ti" TargetMode="External"/><Relationship Id="rId10" Type="http://schemas.openxmlformats.org/officeDocument/2006/relationships/hyperlink" Target="https://posdigital.pucpr.br/blog/mercado-da-arquitetura-de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digital.pucpr.br/cursos/governanca-de-ti-seguranca-digital-e-gestao-de-dad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926</Words>
  <Characters>5004</Characters>
  <Application>Microsoft Office Word</Application>
  <DocSecurity>0</DocSecurity>
  <Lines>41</Lines>
  <Paragraphs>11</Paragraphs>
  <ScaleCrop>false</ScaleCrop>
  <Company>Grizli777</Company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Vinicius</dc:creator>
  <cp:lastModifiedBy>Luis Vinicius</cp:lastModifiedBy>
  <cp:revision>1</cp:revision>
  <dcterms:created xsi:type="dcterms:W3CDTF">2025-03-03T14:25:00Z</dcterms:created>
  <dcterms:modified xsi:type="dcterms:W3CDTF">2025-03-03T14:27:00Z</dcterms:modified>
</cp:coreProperties>
</file>