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3A5F"/>
          <w:sz w:val="28"/>
        </w:rPr>
        <w:t>Sistema generativo interactivo para variaciones visuales con feedback humano y explicación mediante un agente LLM</w:t>
      </w:r>
    </w:p>
    <w:p>
      <w:pPr>
        <w:jc w:val="center"/>
      </w:pPr>
      <w:r>
        <w:rPr>
          <w:sz w:val="18"/>
        </w:rPr>
        <w:t>Proyecto #2 · Planificación y Toma de Decisiones en IA · Prof. Dra. Aurea Soriano-Vargas · UTEC</w:t>
      </w:r>
    </w:p>
    <w:p>
      <w:pPr>
        <w:jc w:val="center"/>
      </w:pPr>
      <w:r>
        <w:rPr>
          <w:sz w:val="18"/>
        </w:rPr>
        <w:t xml:space="preserve">Integrantes: </w:t>
      </w:r>
      <w:r>
        <w:rPr>
          <w:b/>
          <w:sz w:val="18"/>
        </w:rPr>
        <w:t>[completar nombres del equipo]</w:t>
      </w:r>
      <w:r>
        <w:rPr>
          <w:sz w:val="18"/>
        </w:rPr>
        <w:t xml:space="preserve"> · Código y datos: github.com/LuixRom/PTDIA-proyecto2</w:t>
      </w:r>
    </w:p>
    <w:p>
      <w:pPr>
        <w:pStyle w:val="Heading1"/>
      </w:pPr>
      <w:r>
        <w:t>1. Definición del problema</w:t>
      </w:r>
    </w:p>
    <w:p>
      <w:pPr>
        <w:jc w:val="both"/>
      </w:pPr>
      <w:r>
        <w:t xml:space="preserve">Los modelos generativos producen muchas variaciones plausibles de una imagen, pero no todas son aceptables para quien las va a usar: pueden alterar la identidad de la persona, introducir artefactos o no aplicar el cambio pedido. El problema que abordamos es de </w:t>
      </w:r>
      <w:r>
        <w:rPr>
          <w:b/>
        </w:rPr>
        <w:t>toma de decisiones asistida</w:t>
      </w:r>
      <w:r>
        <w:t xml:space="preserve">: dado un retrato aportado por el usuario, el sistema debe (i) generar </w:t>
      </w:r>
      <w:r>
        <w:rPr>
          <w:b/>
        </w:rPr>
        <w:t>exactamente cinco variaciones controladas</w:t>
      </w:r>
      <w:r>
        <w:t xml:space="preserve">, (ii) permitir que la persona </w:t>
      </w:r>
      <w:r>
        <w:rPr>
          <w:b/>
        </w:rPr>
        <w:t>acepte o rechace cada una</w:t>
      </w:r>
      <w:r>
        <w:t xml:space="preserve"> con un motivo, (iii) </w:t>
      </w:r>
      <w:r>
        <w:rPr>
          <w:b/>
        </w:rPr>
        <w:t>registrar</w:t>
      </w:r>
      <w:r>
        <w:t xml:space="preserve"> esas decisiones de forma estructurada y (iv) producir con un </w:t>
      </w:r>
      <w:r>
        <w:rPr>
          <w:b/>
        </w:rPr>
        <w:t>agente LLM</w:t>
      </w:r>
      <w:r>
        <w:t xml:space="preserve"> un resumen que diga explícitamente qué se aceptó y qué se rechazó, </w:t>
      </w:r>
      <w:r>
        <w:rPr>
          <w:b/>
        </w:rPr>
        <w:t>fiel al registro</w:t>
      </w:r>
      <w:r>
        <w:t xml:space="preserve">. Caso de uso: un asistente de edición de retratos (iluminación, estilo, expresión) donde la IA propone y la persona valida. Restricciones: herramientas gratuitas (Google Colab, GPU T4 de 15 GB), sin APIs de pago ni instalación de paquetes, ejecución reproducible y tratamiento responsable de rostros. Nivel de implementación: </w:t>
      </w:r>
      <w:r>
        <w:rPr>
          <w:b/>
        </w:rPr>
        <w:t>intermedio</w:t>
      </w:r>
      <w:r>
        <w:t xml:space="preserve"> (img2img controlado por atributo, §2.3 del enunciado).</w:t>
      </w:r>
    </w:p>
    <w:p>
      <w:pPr>
        <w:pStyle w:val="Heading1"/>
      </w:pPr>
      <w:r>
        <w:t>2. Diseño del sistema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92000" cy="2235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35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Figura 1. Arquitectura y flujo de información y decisiones. El LLM solo redacta; un verificador determinista decide si el resumen coincide con el registro y, si no, devuelve los errores al LLM (bucle de revisión).</w:t>
      </w:r>
    </w:p>
    <w:p>
      <w:pPr>
        <w:jc w:val="both"/>
      </w:pPr>
      <w:r>
        <w:t>El sistema se ejecuta en un único notebook de Colab (</w:t>
      </w:r>
      <w:r>
        <w:rPr>
          <w:i/>
        </w:rPr>
        <w:t>run_colab.ipynb</w:t>
      </w:r>
      <w:r>
        <w:t xml:space="preserve">) que </w:t>
      </w:r>
      <w:r>
        <w:rPr>
          <w:b/>
        </w:rPr>
        <w:t>lleva incrustado el código, la configuración y la imagen de entrada</w:t>
      </w:r>
      <w:r>
        <w:t xml:space="preserve"> con su SHA-256, de modo que basta con subir un archivo. Antes de usar modelos, una celda valida </w:t>
      </w:r>
      <w:r>
        <w:rPr>
          <w:b/>
        </w:rPr>
        <w:t>sin red ni pip</w:t>
      </w:r>
      <w:r>
        <w:t xml:space="preserve"> que las versiones instaladas de Colab sean compatibles (torch 2.11, diffusers 0.41, transformers 5.20, huggingface-hub 1.33), comprobando también las dependencias que declara cada paquete y una importación real; las celdas que descargan modelos solo se ejecutan con autorización explícita. Módulos (paquete </w:t>
      </w:r>
      <w:r>
        <w:rPr>
          <w:i/>
        </w:rPr>
        <w:t>p2</w:t>
      </w:r>
      <w:r>
        <w:t>): validación y preprocesamiento, generación (5 variaciones garantizadas), métricas, registro de decisiones, interfaz Gradio, agente explicador, verificador, BD temporal y exportación con manifiesto SHA-256.</w:t>
      </w:r>
    </w:p>
    <w:p>
      <w:pPr>
        <w:pStyle w:val="Heading1"/>
      </w:pPr>
      <w:r>
        <w:t>3. Datos y preprocesamiento</w:t>
      </w:r>
    </w:p>
    <w:p>
      <w:pPr>
        <w:jc w:val="both"/>
      </w:pPr>
      <w:r>
        <w:t xml:space="preserve">Para evitar datos personales en la fase experimental usamos </w:t>
      </w:r>
      <w:r>
        <w:rPr>
          <w:b/>
        </w:rPr>
        <w:t>SFHQ-T2I</w:t>
      </w:r>
      <w:r>
        <w:t xml:space="preserve"> (Beniaguev, 2024): 122 726 rostros </w:t>
      </w:r>
      <w:r>
        <w:rPr>
          <w:b/>
        </w:rPr>
        <w:t>sintéticos</w:t>
      </w:r>
      <w:r>
        <w:t xml:space="preserve"> de 1024×1024 generados por texto con varios modelos; la ficha de Kaggle declara licencia MIT (se incluye el aviso; no es una verificación legal). Análisis exploratorio de la muestra oficial </w:t>
      </w:r>
      <w:r>
        <w:rPr>
          <w:i/>
        </w:rPr>
        <w:t>a_small_sample_new/</w:t>
      </w:r>
      <w:r>
        <w:t xml:space="preserve"> (primeros 2 000 archivos listados): 992 FLUX.1-dev, 619 SDXL, 378 FLUX.1-pro y 10 DALL·E 3; el autor genera los prompts variando etnia, edad, pose y accesorios. Elegimos </w:t>
      </w:r>
      <w:r>
        <w:rPr>
          <w:b/>
        </w:rPr>
        <w:t>solo SDXL</w:t>
      </w:r>
      <w:r>
        <w:t xml:space="preserve"> (cadena de derechos más simple) con una regla reproducible (barajado con semilla 2026 y criterio visual: una cara, frontal, fotorrealista, sin oclusión) → </w:t>
      </w:r>
      <w:r>
        <w:rPr>
          <w:i/>
        </w:rPr>
        <w:t>SDXL_image_0035846.jpg</w:t>
      </w:r>
      <w:r>
        <w:t xml:space="preserve"> (JPEG 1024², SHA-256 61a0608d…). En la app, el usuario puede subir cualquier retrato. </w:t>
      </w:r>
      <w:r>
        <w:rPr>
          <w:b/>
        </w:rPr>
        <w:t>Preprocesamiento:</w:t>
      </w:r>
      <w:r>
        <w:t xml:space="preserve"> validación (PNG/JPG/WebP, ≤10 MB, lado ≥256 px), recorte cuadrado centrado, redimensión LANCZOS a 512×512 (resolución nativa de SD 1.5), eliminación de EXIF y huella SHA-256; la foto original no se guarda.</w:t>
      </w:r>
    </w:p>
    <w:p>
      <w:pPr>
        <w:pStyle w:val="Heading1"/>
      </w:pPr>
      <w:r>
        <w:t>4. Modelo generativo y justificación</w:t>
      </w:r>
    </w:p>
    <w:p>
      <w:pPr>
        <w:jc w:val="both"/>
      </w:pPr>
      <w:r>
        <w:t xml:space="preserve">Usamos </w:t>
      </w:r>
      <w:r>
        <w:rPr>
          <w:b/>
        </w:rPr>
        <w:t>Stable Diffusion 1.5 img2img</w:t>
      </w:r>
      <w:r>
        <w:t xml:space="preserve"> (difusión latente: VAE, U-Net y codificador de texto CLIP; Rombach et al., 2022), que el material del curso destaca por su calidad y capacidad de control/edición frente a VAE y GAN. Parámetros fijos: fp16, scheduler Euler, 20 pasos, guidance 7, revisión del modelo fijada, </w:t>
      </w:r>
      <w:r>
        <w:rPr>
          <w:i/>
        </w:rPr>
        <w:t>safety checker</w:t>
      </w:r>
      <w:r>
        <w:t xml:space="preserve"> activo y </w:t>
      </w:r>
      <w:r>
        <w:rPr>
          <w:b/>
        </w:rPr>
        <w:t>semillas 1001–1005</w:t>
      </w:r>
      <w:r>
        <w:t xml:space="preserve"> (resultado idéntico píxel a píxel para la misma imagen; verificado en cada ejecución). En exploraciones previas, el scheduler por defecto (PNDM) con entrada 512×341 producía artefactos y un único prompt genérico daba cinco variaciones casi idénticas. Por ello comparamos </w:t>
      </w:r>
      <w:r>
        <w:rPr>
          <w:b/>
        </w:rPr>
        <w:t>A1</w:t>
      </w:r>
      <w:r>
        <w:t xml:space="preserve"> (prompt genérico, cinco semillas; línea base) con </w:t>
      </w:r>
      <w:r>
        <w:rPr>
          <w:b/>
        </w:rPr>
        <w:t>A2</w:t>
      </w:r>
      <w:r>
        <w:t xml:space="preserve"> (un </w:t>
      </w:r>
      <w:r>
        <w:rPr>
          <w:b/>
        </w:rPr>
        <w:t>atributo distinto por variación</w:t>
      </w:r>
      <w:r>
        <w:t xml:space="preserve">: luz cálida, luz fría de estudio, acuarela, sonrisa, blanco y negro de época; mismas semillas, diseño pareado) y barrimos el </w:t>
      </w:r>
      <w:r>
        <w:rPr>
          <w:i/>
        </w:rPr>
        <w:t>strength</w:t>
      </w:r>
      <w:r>
        <w:t xml:space="preserve"> (Fig. 2, Tabla 1).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44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r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44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Figura 2. A2 sobre la imagen sintética de prueba con tres valores de strength. A 0,40 casi no cambia nada; a 0,70 se pierde la identidad (cambian edad, género y etnia aparentes).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850"/>
            <w:shd w:val="clear" w:color="auto" w:fill="DCE6F2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Método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CLIPΔ atributo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Similitud CLIP con original (mín.)</w:t>
            </w:r>
          </w:p>
        </w:tc>
        <w:tc>
          <w:tcPr>
            <w:tcW w:type="dxa" w:w="1361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Diversidad CLIP</w:t>
            </w:r>
          </w:p>
        </w:tc>
        <w:tc>
          <w:tcPr>
            <w:tcW w:type="dxa" w:w="1304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1−SSIM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s/img (T4)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0,40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A1 / A2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−0,007 / −0,003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0,957 (0,931) / 0,928 (0,914)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0,046 / 0,037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0,203 / 0,196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1,5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b/>
                <w:sz w:val="16"/>
              </w:rPr>
              <w:t>0,55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A1 / A2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 xml:space="preserve">−0,013 / </w:t>
            </w:r>
            <w:r>
              <w:rPr>
                <w:b/>
                <w:sz w:val="16"/>
              </w:rPr>
              <w:t>+0,014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0,816 (0,718) / 0,809 (0,680)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0,198 / 0,191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0,276 / 0,270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2,0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0,70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A1 / A2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 xml:space="preserve">−0,013 / </w:t>
            </w:r>
            <w:r>
              <w:rPr>
                <w:b/>
                <w:sz w:val="16"/>
              </w:rPr>
              <w:t>+0,021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0,623 (0,582) / 0,660 (0,597)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0,221 / 0,340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0,314 / 0,333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2,6</w:t>
            </w:r>
          </w:p>
        </w:tc>
      </w:tr>
    </w:tbl>
    <w:p>
      <w:pPr>
        <w:spacing w:after="80"/>
        <w:jc w:val="center"/>
      </w:pPr>
      <w:r>
        <w:rPr>
          <w:i/>
          <w:sz w:val="16"/>
        </w:rPr>
        <w:t>Tabla 1. Métricas medidas en Colab T4 (1 imagen × 5 variaciones por método; VRAM pico 3,4 GB). CLIPΔ = similitud CLIP de la variación con el texto del atributo menos la del original (&gt;0: el atributo se aplicó).</w:t>
      </w:r>
    </w:p>
    <w:p>
      <w:pPr>
        <w:jc w:val="both"/>
      </w:pPr>
      <w:r>
        <w:rPr>
          <w:b/>
        </w:rPr>
        <w:t>Decisión:</w:t>
      </w:r>
      <w:r>
        <w:t xml:space="preserve"> </w:t>
      </w:r>
      <w:r>
        <w:rPr>
          <w:i/>
        </w:rPr>
        <w:t>strength</w:t>
      </w:r>
      <w:r>
        <w:t xml:space="preserve"> 0,55 con A2. A 0,40 el atributo no se aplica (CLIPΔ≈0) y A2 no es más diverso que A1; a 0,70 el atributo es más visible pero el parecido cae a 0,62–0,66 y aparecen otras personas, incluso con el prompt genérico. A1 actúa como control: su CLIPΔ es negativo en todos los casos, mientras que A2 es positivo desde 0,55 (acuarela +0,055, sonrisa +0,029), aunque el B/N y la iluminación apenas se logran por prompt. ControlNet, que fijaría la estructura facial para permitir más strength, queda como mejora.</w:t>
      </w:r>
    </w:p>
    <w:p>
      <w:pPr>
        <w:pStyle w:val="Heading1"/>
      </w:pPr>
      <w:r>
        <w:t>5. Interfaz e interacción humano–IA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2154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54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Figura 3. App en Colab: cada variación muestra su atributo; la persona acepta o rechaza y escribe un motivo.</w:t>
      </w:r>
    </w:p>
    <w:p>
      <w:pPr>
        <w:jc w:val="both"/>
      </w:pPr>
      <w:r>
        <w:t xml:space="preserve">La interfaz (Gradio, dentro de la celda de Colab o mediante un enlace temporal para pruebas con varias personas) pide </w:t>
      </w:r>
      <w:r>
        <w:rPr>
          <w:b/>
        </w:rPr>
        <w:t>consentimiento</w:t>
      </w:r>
      <w:r>
        <w:t xml:space="preserve"> y un </w:t>
      </w:r>
      <w:r>
        <w:rPr>
          <w:b/>
        </w:rPr>
        <w:t>alias anónimo</w:t>
      </w:r>
      <w:r>
        <w:t xml:space="preserve">, muestra las cinco variaciones etiquetadas como generadas por IA (con aviso si el </w:t>
      </w:r>
      <w:r>
        <w:rPr>
          <w:i/>
        </w:rPr>
        <w:t>safety checker</w:t>
      </w:r>
      <w:r>
        <w:t xml:space="preserve"> bloquea alguna) y exige decidir las cinco antes de resumir. Las decisiones y motivos se leen </w:t>
      </w:r>
      <w:r>
        <w:rPr>
          <w:b/>
        </w:rPr>
        <w:t>al pulsar «Generar resumen»</w:t>
      </w:r>
      <w:r>
        <w:t xml:space="preserve">, lo que resultó más robusto que depender de los eventos de clic dentro del visor de Colab. </w:t>
      </w:r>
      <w:r>
        <w:rPr>
          <w:b/>
        </w:rPr>
        <w:t>Registro estructurado:</w:t>
      </w:r>
      <w:r>
        <w:t xml:space="preserve"> </w:t>
      </w:r>
      <w:r>
        <w:rPr>
          <w:i/>
        </w:rPr>
        <w:t>decisions.json</w:t>
      </w:r>
      <w:r>
        <w:t xml:space="preserve"> (estado final validado con pydantic: exactamente cinco variaciones, IDs V1–V5, decisión aceptada/rechazada, motivo, semilla, prompt y parámetros), </w:t>
      </w:r>
      <w:r>
        <w:rPr>
          <w:i/>
        </w:rPr>
        <w:t>events.jsonl</w:t>
      </w:r>
      <w:r>
        <w:t xml:space="preserve"> (historial de cada cambio con su hora: una sesión en la que el usuario cambió de opinión registró 24 eventos) y </w:t>
      </w:r>
      <w:r>
        <w:rPr>
          <w:i/>
        </w:rPr>
        <w:t>summary.json</w:t>
      </w:r>
      <w:r>
        <w:t xml:space="preserve">; además, una </w:t>
      </w:r>
      <w:r>
        <w:rPr>
          <w:b/>
        </w:rPr>
        <w:t>BD temporal SQLite</w:t>
      </w:r>
      <w:r>
        <w:t xml:space="preserve"> guarda las respuestas del agente y el cuestionario SUS. Las escrituras usan un candado porque Gradio atiende cada clic en un hilo; una celda exporta todo en un ZIP y otra lo borra al terminar.</w:t>
      </w:r>
    </w:p>
    <w:p>
      <w:pPr>
        <w:pStyle w:val="Heading1"/>
      </w:pPr>
      <w:r>
        <w:t>6. Agente explicador y explicabilidad</w:t>
      </w:r>
    </w:p>
    <w:p>
      <w:pPr>
        <w:jc w:val="both"/>
      </w:pPr>
      <w:r>
        <w:t xml:space="preserve">El agente usa </w:t>
      </w:r>
      <w:r>
        <w:rPr>
          <w:b/>
        </w:rPr>
        <w:t>Qwen2.5-1.5B-Instruct</w:t>
      </w:r>
      <w:r>
        <w:t xml:space="preserve"> (Apache-2.0, local en la T4, decodificación greedy). Su entrada es solo el registro estructurado (ID, atributo, decisión, motivo), delimitado como </w:t>
      </w:r>
      <w:r>
        <w:rPr>
          <w:i/>
        </w:rPr>
        <w:t>datos</w:t>
      </w:r>
      <w:r>
        <w:t xml:space="preserve"> para neutralizar instrucciones inyectadas en los motivos. El prompt sigue la plantilla del curso </w:t>
      </w:r>
      <w:r>
        <w:rPr>
          <w:b/>
        </w:rPr>
        <w:t>CONTEXTO / TAREA / RESTRICCIONES / FORMATO</w:t>
      </w:r>
      <w:r>
        <w:t>, con un ejemplo (</w:t>
      </w:r>
      <w:r>
        <w:rPr>
          <w:i/>
        </w:rPr>
        <w:t>few-shot</w:t>
      </w:r>
      <w:r>
        <w:t xml:space="preserve">) y salida JSON </w:t>
      </w:r>
      <w:r>
        <w:rPr>
          <w:i/>
        </w:rPr>
        <w:t>{aceptadas, rechazadas, resumen}</w:t>
      </w:r>
      <w:r>
        <w:t xml:space="preserve">. Un </w:t>
      </w:r>
      <w:r>
        <w:rPr>
          <w:b/>
        </w:rPr>
        <w:t>verificador determinista</w:t>
      </w:r>
      <w:r>
        <w:t>, independiente del LLM, exige que los conjuntos coincidan exactamente con el registro, que cada V1–V5 aparezca en el texto con su estado explícito (incluida la negación) y que no haya IDs inventados. Siguiendo el ciclo observa–decide–actúa–</w:t>
      </w:r>
      <w:r>
        <w:rPr>
          <w:b/>
        </w:rPr>
        <w:t>revisa</w:t>
      </w:r>
      <w:r>
        <w:t xml:space="preserve"> del curso, si falla se reintenta hasta dos veces </w:t>
      </w:r>
      <w:r>
        <w:rPr>
          <w:b/>
        </w:rPr>
        <w:t>devolviendo al LLM los errores concretos</w:t>
      </w:r>
      <w:r>
        <w:t xml:space="preserve">; si aún falla, se muestra una plantilla determinista marcada como tal. Así, el usuario </w:t>
      </w:r>
      <w:r>
        <w:rPr>
          <w:b/>
        </w:rPr>
        <w:t>nunca ve un resumen que contradiga sus decisiones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10"/>
            <w:shd w:val="clear" w:color="auto" w:fill="DCE6F2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964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Decisión</w:t>
            </w:r>
          </w:p>
        </w:tc>
        <w:tc>
          <w:tcPr>
            <w:tcW w:type="dxa" w:w="6236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Motivo escrito por el usuario (decisions.json)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V1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luz cálida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aceptada</w:t>
            </w: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Conserva los rasgos principales y presenta una iluminación agradable y natural.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V2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luz fría de estudio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aceptada</w:t>
            </w: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Mantiene una apariencia realista, con el rostro bien definido.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V3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acuarela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rechazada</w:t>
            </w: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Suaviza demasiado los detalles y cambia ligeramente la apariencia del rostro.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V4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sonrisa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aceptada</w:t>
            </w: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Conserva la sonrisa y los rasgos principales, aunque presenta algunas diferencias en los dientes.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V5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B/N de época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rechazada</w:t>
            </w: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Modifica considerablemente el peinado y la apariencia facial, haciendo que parezca otra persona.</w:t>
            </w:r>
          </w:p>
        </w:tc>
      </w:tr>
    </w:tbl>
    <w:p>
      <w:pPr>
        <w:spacing w:after="80"/>
        <w:jc w:val="center"/>
      </w:pPr>
      <w:r>
        <w:rPr>
          <w:i/>
          <w:sz w:val="16"/>
        </w:rPr>
        <w:t>Tabla 2. Evidencia de interacción: registro real de una sesión (s-4f706022). Resumen del agente, aprobado por el verificador en el 1.er intento: «Las variaciones V1, V2 y V4 fueron aceptadas por conservar los rasgos principales y presentar una iluminación agradable y natural. La variación V3 fue rechazada debido a que suavizaba demasiados detalles… La variación V5 fue rechazada porque modificó considerablemente el peinado y la apariencia facial, haciéndola parecer otra persona.»</w:t>
      </w:r>
    </w:p>
    <w:p>
      <w:pPr>
        <w:pStyle w:val="Heading1"/>
      </w:pPr>
      <w:r>
        <w:t>7. Evaluación y resultados</w:t>
      </w:r>
    </w:p>
    <w:p>
      <w:pPr>
        <w:jc w:val="both"/>
      </w:pPr>
      <w:r>
        <w:rPr>
          <w:b/>
        </w:rPr>
        <w:t>Calidad, fidelidad y diversidad</w:t>
      </w:r>
      <w:r>
        <w:t xml:space="preserve"> (Tabla 1): la fidelidad (similitud CLIP) y la diversidad se mueven en sentidos opuestos con el strength; 0,55 ofrece el mejor equilibrio observado. </w:t>
      </w:r>
      <w:r>
        <w:rPr>
          <w:b/>
        </w:rPr>
        <w:t>Evaluación humana ciega</w:t>
      </w:r>
      <w:r>
        <w:t xml:space="preserve"> (strength 0,55, 10 imágenes barajadas sin indicar el método, 1 evaluador): A2 tuvo 4/5 aceptadas frente a 3/5 de A1; «misma persona» 3,0 frente a 3,2 y calidad 4,0 frente a 4,2 (escala 1–5): sin diferencia concluyente con este tamaño. Las dos imágenes juzgadas «otra persona» (1/5) fueron las de menor similitud CLIP (0,72 y 0,68); la correlación entre ambas fue ρ = 0,62 (Spearman, p = 0,056, n = 10), útil como aviso pero nunca como identificación. </w:t>
      </w:r>
      <w:r>
        <w:rPr>
          <w:b/>
        </w:rPr>
        <w:t>Uso de la app</w:t>
      </w:r>
      <w:r>
        <w:t xml:space="preserve"> (A2, 0,55; 4 sesiones completas, 20 variaciones): 70 % de aceptación; el atributo peor valorado fue </w:t>
      </w:r>
      <w:r>
        <w:rPr>
          <w:i/>
        </w:rPr>
        <w:t>sonrisa</w:t>
      </w:r>
      <w:r>
        <w:t xml:space="preserve"> (2/4), por dientes deformados y cambio de género; el </w:t>
      </w:r>
      <w:r>
        <w:rPr>
          <w:i/>
        </w:rPr>
        <w:t>safety checker</w:t>
      </w:r>
      <w:r>
        <w:t xml:space="preserve"> bloqueó por error 2 de 25 imágenes (8 %), lo que llevó a abandonar una sesión y a añadir un aviso en la interfaz.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928"/>
            <w:shd w:val="clear" w:color="auto" w:fill="DCE6F2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Explicador</w:t>
            </w:r>
          </w:p>
        </w:tc>
        <w:tc>
          <w:tcPr>
            <w:tcW w:type="dxa" w:w="794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Sesiones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Resumen propio del LLM aprobado</w:t>
            </w:r>
          </w:p>
        </w:tc>
        <w:tc>
          <w:tcPr>
            <w:tcW w:type="dxa" w:w="1134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Plantilla de respaldo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Resúmenes incoherentes mostrados</w:t>
            </w:r>
          </w:p>
        </w:tc>
        <w:tc>
          <w:tcPr>
            <w:tcW w:type="dxa" w:w="2721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Fallos observados del LLM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Inicial (sin formato fijo ni revisión)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1/4 (25 %)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3/4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dice «aceptada»; atribuye un rechazo a V1 (aceptada); no nombra los IDs</w:t>
            </w:r>
          </w:p>
        </w:tc>
      </w:tr>
      <w:tr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Mejorado (formato + ejemplo + revisión)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3/4 (75 %)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1/4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con 0/5 aceptadas inventa aceptaciones; un caso corregido en el 2.º intento</w:t>
            </w:r>
          </w:p>
        </w:tc>
      </w:tr>
    </w:tbl>
    <w:p>
      <w:pPr>
        <w:spacing w:after="80"/>
        <w:jc w:val="center"/>
      </w:pPr>
      <w:r>
        <w:rPr>
          <w:i/>
          <w:sz w:val="16"/>
        </w:rPr>
        <w:t>Tabla 3. Coherencia entre decisiones y resumen (métrica del enunciado). Sesiones reales y de prueba en Colab.</w:t>
      </w:r>
    </w:p>
    <w:p>
      <w:pPr>
        <w:jc w:val="both"/>
      </w:pPr>
      <w:r>
        <w:rPr>
          <w:b/>
        </w:rPr>
        <w:t>Explicabilidad:</w:t>
      </w:r>
      <w:r>
        <w:t xml:space="preserve"> la coherencia de lo mostrado fue 8/8 gracias al verificador, y la mejora del prompt subió los resúmenes propios del LLM de 25 % a 75 %. La revisión manual detectó un límite: el verificador garantiza las </w:t>
      </w:r>
      <w:r>
        <w:rPr>
          <w:i/>
        </w:rPr>
        <w:t>decisiones</w:t>
      </w:r>
      <w:r>
        <w:t xml:space="preserve">, no la fidelidad de los </w:t>
      </w:r>
      <w:r>
        <w:rPr>
          <w:i/>
        </w:rPr>
        <w:t>motivos</w:t>
      </w:r>
      <w:r>
        <w:t xml:space="preserve"> (p. ej. atribuyó «mejorar la ropa» a variaciones donde el usuario no lo dijo) ni la redacción («todos los usuarios» con un único usuario). </w:t>
      </w:r>
      <w:r>
        <w:rPr>
          <w:b/>
        </w:rPr>
        <w:t>Usabilidad:</w:t>
      </w:r>
      <w:r>
        <w:t xml:space="preserve"> la mediana de tiempo para decidir las cinco variaciones (incluida la escritura de motivos) fue 5,1 min (0,3–13,6 min, n = 7). El cuestionario </w:t>
      </w:r>
      <w:r>
        <w:rPr>
          <w:b/>
        </w:rPr>
        <w:t>SUS</w:t>
      </w:r>
      <w:r>
        <w:t xml:space="preserve"> (10 ítems, 0–100; Brooke, 1996) está integrado en la app: </w:t>
      </w:r>
      <w:r>
        <w:rPr>
          <w:b/>
        </w:rPr>
        <w:t>[completar: SUS medio = __ / 100, DE = __, n = __ participantes]</w:t>
      </w:r>
      <w:r>
        <w:t>.</w:t>
      </w:r>
    </w:p>
    <w:p>
      <w:pPr>
        <w:pStyle w:val="Heading1"/>
      </w:pPr>
      <w:r>
        <w:t>8. Limitaciones y propuestas de mejora</w:t>
      </w:r>
    </w:p>
    <w:p>
      <w:pPr>
        <w:pStyle w:val="ListBullet"/>
        <w:spacing w:after="20"/>
        <w:ind w:left="283"/>
        <w:jc w:val="both"/>
      </w:pPr>
      <w:r>
        <w:rPr>
          <w:b/>
        </w:rPr>
        <w:t>Muestra pequeña:</w:t>
      </w:r>
      <w:r>
        <w:t xml:space="preserve"> una imagen piloto, un evaluador ciego y pocas sesiones; los resultados son exploratorios y no se aplicó inferencia estadística.</w:t>
      </w:r>
    </w:p>
    <w:p>
      <w:pPr>
        <w:pStyle w:val="ListBullet"/>
        <w:spacing w:after="20"/>
        <w:ind w:left="283"/>
        <w:jc w:val="both"/>
      </w:pPr>
      <w:r>
        <w:rPr>
          <w:b/>
        </w:rPr>
        <w:t>Compromiso de img2img:</w:t>
      </w:r>
      <w:r>
        <w:t xml:space="preserve"> más strength aplica más el atributo pero cambia la identidad; el B/N no se aplica. Mejora: ControlNet o IP-Adapter para fijar la estructura facial, y prompts negativos de género y edad.</w:t>
      </w:r>
    </w:p>
    <w:p>
      <w:pPr>
        <w:pStyle w:val="ListBullet"/>
        <w:spacing w:after="20"/>
        <w:ind w:left="283"/>
        <w:jc w:val="both"/>
      </w:pPr>
      <w:r>
        <w:rPr>
          <w:b/>
        </w:rPr>
        <w:t>Determinismo:</w:t>
      </w:r>
      <w:r>
        <w:t xml:space="preserve"> la misma imagen produce siempre las mismas cinco variaciones (reproducible, pero sin nuevas opciones). Mejora: un botón «otras 5» que cambie y registre las semillas.</w:t>
      </w:r>
    </w:p>
    <w:p>
      <w:pPr>
        <w:pStyle w:val="ListBullet"/>
        <w:spacing w:after="20"/>
        <w:ind w:left="283"/>
        <w:jc w:val="both"/>
      </w:pPr>
      <w:r>
        <w:rPr>
          <w:b/>
        </w:rPr>
        <w:t>LLM pequeño:</w:t>
      </w:r>
      <w:r>
        <w:t xml:space="preserve"> Qwen2.5-1.5B falla en casos extremos (todo rechazado) y parafrasea mal los motivos. Mejora: decodificación restringida a JSON, un modelo mayor y una comprobación de fidelidad de motivos.</w:t>
      </w:r>
    </w:p>
    <w:p>
      <w:pPr>
        <w:pStyle w:val="ListBullet"/>
        <w:spacing w:after="20"/>
        <w:ind w:left="283"/>
        <w:jc w:val="both"/>
      </w:pPr>
      <w:r>
        <w:rPr>
          <w:b/>
        </w:rPr>
        <w:t>Métricas:</w:t>
      </w:r>
      <w:r>
        <w:t xml:space="preserve"> CLIP no mide identidad y el filtro de seguridad genera falsos positivos con rostros.</w:t>
      </w:r>
    </w:p>
    <w:p>
      <w:pPr>
        <w:pStyle w:val="Heading1"/>
      </w:pPr>
      <w:r>
        <w:t>9. Consideraciones éticas</w:t>
      </w:r>
    </w:p>
    <w:p>
      <w:pPr>
        <w:pStyle w:val="ListBullet"/>
        <w:spacing w:after="20"/>
        <w:ind w:left="283"/>
        <w:jc w:val="both"/>
      </w:pPr>
      <w:r>
        <w:rPr>
          <w:b/>
        </w:rPr>
        <w:t>Manipulación de identidad:</w:t>
      </w:r>
      <w:r>
        <w:t xml:space="preserve"> el sistema modifica rostros; por eso exige consentimiento, etiqueta las imágenes como generadas por IA, no guarda la foto original y borra las sesiones al terminar. El mismo mecanismo podría usarse para </w:t>
      </w:r>
      <w:r>
        <w:rPr>
          <w:i/>
        </w:rPr>
        <w:t>deepfakes</w:t>
      </w:r>
      <w:r>
        <w:t>: la licencia de SD 1.5 (CreativeML Open RAIL-M) prohíbe usos que dañen o discriminen.</w:t>
      </w:r>
    </w:p>
    <w:p>
      <w:pPr>
        <w:pStyle w:val="ListBullet"/>
        <w:spacing w:after="20"/>
        <w:ind w:left="283"/>
        <w:jc w:val="both"/>
      </w:pPr>
      <w:r>
        <w:rPr>
          <w:b/>
        </w:rPr>
        <w:t>Sesgos del modelo:</w:t>
      </w:r>
      <w:r>
        <w:t xml:space="preserve"> con strength 0,70 el modelo sustituyó al anciano por personas más jóvenes, de otro género y otra etnia, incluso sin pedirlo; con 0,55 el usuario rechazó «sonrisa» y «B/N» porque el personaje masculino pasaba a ser mujer. Son sesgos heredados de los datos de entrenamiento que el sistema hace visibles pero no corrige.</w:t>
      </w:r>
    </w:p>
    <w:p>
      <w:pPr>
        <w:pStyle w:val="ListBullet"/>
        <w:spacing w:after="20"/>
        <w:ind w:left="283"/>
        <w:jc w:val="both"/>
      </w:pPr>
      <w:r>
        <w:rPr>
          <w:b/>
        </w:rPr>
        <w:t>Datos y licencias:</w:t>
      </w:r>
      <w:r>
        <w:t xml:space="preserve"> experimentos con rostros sintéticos; las fotos de personas reales tomadas de internet que se probaron se excluyeron del repositorio público. CLIP se usa solo para evaluar, nunca para identificar personas.</w:t>
      </w:r>
    </w:p>
    <w:p>
      <w:pPr>
        <w:pStyle w:val="ListBullet"/>
        <w:spacing w:after="20"/>
        <w:ind w:left="283"/>
        <w:jc w:val="both"/>
      </w:pPr>
      <w:r>
        <w:rPr>
          <w:b/>
        </w:rPr>
        <w:t>Confianza:</w:t>
      </w:r>
      <w:r>
        <w:t xml:space="preserve"> la decisión final es siempre humana y el resumen solo se muestra si es verificable; cuando el LLM falla, se informa de que se usó una plantilla.</w:t>
      </w:r>
    </w:p>
    <w:p>
      <w:pPr>
        <w:pStyle w:val="Heading1"/>
      </w:pPr>
      <w:r>
        <w:t>10. Reproducibilidad</w:t>
      </w:r>
    </w:p>
    <w:p>
      <w:pPr>
        <w:jc w:val="both"/>
      </w:pPr>
      <w:r>
        <w:t>El repositorio contiene el código, la configuración (modelos con revisión fijada, semillas y prompts), el notebook autosuficiente, los resultados con manifiestos SHA-256 y 174 tests automáticos. Un simulador ejecuta las celdas reales del notebook con modelos diminutos y las mismas versiones de Colab (7 escenarios), lo que permitió detectar antes de subir incompatibilidades reales (torchao, transformers 5, servido de archivos en Colab).</w:t>
      </w:r>
    </w:p>
    <w:p>
      <w:pPr>
        <w:jc w:val="both"/>
      </w:pPr>
      <w:r>
        <w:rPr>
          <w:b/>
          <w:sz w:val="16"/>
        </w:rPr>
        <w:t>Referencias:</w:t>
      </w:r>
      <w:r>
        <w:rPr>
          <w:sz w:val="16"/>
        </w:rPr>
        <w:t xml:space="preserve"> Rombach et al. (2022), </w:t>
      </w:r>
      <w:r>
        <w:rPr>
          <w:i/>
          <w:sz w:val="16"/>
        </w:rPr>
        <w:t>High-Resolution Image Synthesis with Latent Diffusion Models</w:t>
      </w:r>
      <w:r>
        <w:rPr>
          <w:sz w:val="16"/>
        </w:rPr>
        <w:t xml:space="preserve">, CVPR · Radford et al. (2021), </w:t>
      </w:r>
      <w:r>
        <w:rPr>
          <w:i/>
          <w:sz w:val="16"/>
        </w:rPr>
        <w:t>CLIP</w:t>
      </w:r>
      <w:r>
        <w:rPr>
          <w:sz w:val="16"/>
        </w:rPr>
        <w:t xml:space="preserve">, ICML · Zhang et al. (2023), </w:t>
      </w:r>
      <w:r>
        <w:rPr>
          <w:i/>
          <w:sz w:val="16"/>
        </w:rPr>
        <w:t>ControlNet</w:t>
      </w:r>
      <w:r>
        <w:rPr>
          <w:sz w:val="16"/>
        </w:rPr>
        <w:t xml:space="preserve">, ICCV · Qwen Team (2024), </w:t>
      </w:r>
      <w:r>
        <w:rPr>
          <w:i/>
          <w:sz w:val="16"/>
        </w:rPr>
        <w:t>Qwen2.5 Technical Report</w:t>
      </w:r>
      <w:r>
        <w:rPr>
          <w:sz w:val="16"/>
        </w:rPr>
        <w:t xml:space="preserve"> · Beniaguev (2024), </w:t>
      </w:r>
      <w:r>
        <w:rPr>
          <w:i/>
          <w:sz w:val="16"/>
        </w:rPr>
        <w:t>SFHQ-T2I</w:t>
      </w:r>
      <w:r>
        <w:rPr>
          <w:sz w:val="16"/>
        </w:rPr>
        <w:t xml:space="preserve">, Kaggle · Brooke (1996), </w:t>
      </w:r>
      <w:r>
        <w:rPr>
          <w:i/>
          <w:sz w:val="16"/>
        </w:rPr>
        <w:t>SUS: a quick and dirty usability scale</w:t>
      </w:r>
      <w:r>
        <w:rPr>
          <w:sz w:val="16"/>
        </w:rPr>
        <w:t xml:space="preserve"> · Material del curso: Generative Models (Sesión 10), Modelos Fundacionales (Sem. 9), Prompting y Orquestación de Agentes (Sem. 10).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