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EAF27" w14:textId="77777777" w:rsidR="001B15F1" w:rsidRPr="00E602DC" w:rsidRDefault="00000000">
      <w:pPr>
        <w:widowControl w:val="0"/>
        <w:jc w:val="center"/>
        <w:rPr>
          <w:smallCaps/>
          <w:color w:val="FF0000"/>
          <w:lang w:val="pt-BR"/>
        </w:rPr>
      </w:pPr>
      <w:r w:rsidRPr="00E602DC">
        <w:rPr>
          <w:b/>
          <w:bCs/>
          <w:lang w:val="pt-BR"/>
        </w:rPr>
        <w:t>AUDITORIA AUTOMATIZADA DE CONFORMIDADE COM A LGPD A PARTIR DE SCHEMAS DE BANCO DE DADOS E TERMOS DE TRATAMENTO DE DADOS VIA RAG</w:t>
      </w:r>
    </w:p>
    <w:p w14:paraId="573267FF" w14:textId="77777777" w:rsidR="001B15F1" w:rsidRPr="00E602DC" w:rsidRDefault="001B15F1">
      <w:pPr>
        <w:widowControl w:val="0"/>
        <w:jc w:val="center"/>
        <w:rPr>
          <w:lang w:val="pt-BR"/>
        </w:rPr>
      </w:pPr>
    </w:p>
    <w:p w14:paraId="43CC9327" w14:textId="77777777" w:rsidR="001B15F1" w:rsidRPr="00E602DC" w:rsidRDefault="00000000">
      <w:pPr>
        <w:widowControl w:val="0"/>
        <w:jc w:val="center"/>
        <w:rPr>
          <w:i/>
          <w:iCs/>
          <w:sz w:val="18"/>
          <w:szCs w:val="18"/>
          <w:vertAlign w:val="superscript"/>
          <w:lang w:val="pt-BR"/>
        </w:rPr>
      </w:pPr>
      <w:r w:rsidRPr="00E602DC">
        <w:rPr>
          <w:lang w:val="pt-BR"/>
        </w:rPr>
        <w:t>Luiz Fernando Costa Silva</w:t>
      </w:r>
      <w:r w:rsidRPr="00E602DC">
        <w:rPr>
          <w:vertAlign w:val="superscript"/>
          <w:lang w:val="pt-BR"/>
        </w:rPr>
        <w:t>1</w:t>
      </w:r>
      <w:r w:rsidRPr="00E602DC">
        <w:rPr>
          <w:lang w:val="pt-BR"/>
        </w:rPr>
        <w:t xml:space="preserve"> (IC), Bárbara Pimenta Caetano</w:t>
      </w:r>
      <w:r w:rsidRPr="00E602DC">
        <w:rPr>
          <w:vertAlign w:val="superscript"/>
          <w:lang w:val="pt-BR"/>
        </w:rPr>
        <w:t>1</w:t>
      </w:r>
      <w:r w:rsidRPr="00E602DC">
        <w:rPr>
          <w:lang w:val="pt-BR"/>
        </w:rPr>
        <w:t xml:space="preserve"> (PQ)</w:t>
      </w:r>
    </w:p>
    <w:p w14:paraId="1A362021" w14:textId="77777777" w:rsidR="001B15F1" w:rsidRPr="00E602DC" w:rsidRDefault="00000000">
      <w:pPr>
        <w:widowControl w:val="0"/>
        <w:jc w:val="center"/>
        <w:rPr>
          <w:b/>
          <w:bCs/>
          <w:sz w:val="30"/>
          <w:szCs w:val="30"/>
          <w:lang w:val="pt-BR"/>
        </w:rPr>
      </w:pPr>
      <w:r w:rsidRPr="00E602DC">
        <w:rPr>
          <w:i/>
          <w:iCs/>
          <w:sz w:val="18"/>
          <w:szCs w:val="18"/>
          <w:vertAlign w:val="superscript"/>
          <w:lang w:val="pt-BR"/>
        </w:rPr>
        <w:t>1</w:t>
      </w:r>
      <w:r w:rsidRPr="00E602DC">
        <w:rPr>
          <w:i/>
          <w:iCs/>
          <w:sz w:val="18"/>
          <w:szCs w:val="18"/>
          <w:lang w:val="pt-BR"/>
        </w:rPr>
        <w:t>Instituto de Engenharia de Sistemas e Tecnologias da Informação – Universidade Federal de Itajubá (UNIFEI), Itajubá – MG, Brasil.</w:t>
      </w:r>
    </w:p>
    <w:p w14:paraId="297B471D" w14:textId="77777777" w:rsidR="001B15F1" w:rsidRPr="00E602DC" w:rsidRDefault="001B15F1">
      <w:pPr>
        <w:pBdr>
          <w:top w:val="nil"/>
          <w:left w:val="nil"/>
          <w:bottom w:val="nil"/>
          <w:right w:val="nil"/>
          <w:between w:val="nil"/>
        </w:pBdr>
        <w:spacing w:line="200" w:lineRule="auto"/>
        <w:rPr>
          <w:i/>
          <w:iCs/>
          <w:color w:val="000000"/>
          <w:sz w:val="16"/>
          <w:szCs w:val="16"/>
          <w:lang w:val="pt-BR"/>
        </w:rPr>
      </w:pPr>
    </w:p>
    <w:p w14:paraId="7963F50E" w14:textId="77777777" w:rsidR="001B15F1" w:rsidRPr="00E602DC" w:rsidRDefault="001B15F1">
      <w:pPr>
        <w:widowControl w:val="0"/>
        <w:rPr>
          <w:color w:val="FF0000"/>
          <w:lang w:val="pt-BR"/>
        </w:rPr>
      </w:pPr>
    </w:p>
    <w:p w14:paraId="0ABD0BE8" w14:textId="77777777" w:rsidR="001B15F1" w:rsidRPr="00E602DC" w:rsidRDefault="00000000" w:rsidP="00E602DC">
      <w:pPr>
        <w:jc w:val="both"/>
        <w:rPr>
          <w:b/>
          <w:bCs/>
          <w:color w:val="000000" w:themeColor="text1"/>
          <w:sz w:val="22"/>
          <w:szCs w:val="22"/>
          <w:lang w:val="pt-BR"/>
        </w:rPr>
      </w:pPr>
      <w:r w:rsidRPr="00E602DC">
        <w:rPr>
          <w:b/>
          <w:bCs/>
          <w:sz w:val="22"/>
          <w:szCs w:val="22"/>
          <w:lang w:val="pt-BR"/>
        </w:rPr>
        <w:t>Resumo</w:t>
      </w:r>
      <w:r w:rsidRPr="00E602DC">
        <w:rPr>
          <w:b/>
          <w:bCs/>
          <w:color w:val="000000" w:themeColor="text1"/>
          <w:sz w:val="22"/>
          <w:szCs w:val="22"/>
          <w:lang w:val="pt-BR"/>
        </w:rPr>
        <w:t>:</w:t>
      </w:r>
      <w:r w:rsidRPr="00E602DC">
        <w:rPr>
          <w:color w:val="000000" w:themeColor="text1"/>
          <w:sz w:val="22"/>
          <w:szCs w:val="22"/>
          <w:lang w:val="pt-BR"/>
        </w:rPr>
        <w:t xml:space="preserve"> Este trabalho investiga o uso de Recuperação Aumentada de Geração (RAG) e de modelos de linguagem como apoio à auditoria de conformidade com a Lei Geral de Proteção de Dados (LGPD). Foi desenvolvida a plataforma </w:t>
      </w:r>
      <w:proofErr w:type="spellStart"/>
      <w:r w:rsidRPr="00E602DC">
        <w:rPr>
          <w:color w:val="000000" w:themeColor="text1"/>
          <w:sz w:val="22"/>
          <w:szCs w:val="22"/>
          <w:lang w:val="pt-BR"/>
        </w:rPr>
        <w:t>LexRAG</w:t>
      </w:r>
      <w:proofErr w:type="spellEnd"/>
      <w:r w:rsidRPr="00E602DC">
        <w:rPr>
          <w:color w:val="000000" w:themeColor="text1"/>
          <w:sz w:val="22"/>
          <w:szCs w:val="22"/>
          <w:lang w:val="pt-BR"/>
        </w:rPr>
        <w:t>, capaz de analisar esquemas de bancos de dados e termos de tratamento de dados, gerar relatórios estruturados e responder a consultas sobre os achados. O pipeline combina recuperação semântica e lexical, executa modelos de linguagem localmente e é avaliado pelo framework RAGAS. Em um estudo de caso de telemedicina, foram identificadas inconsistências entre os dados armazenados e as práticas declaradas, com resultados de 0,92 em fidelidade e 0,93 em precisão de contexto.</w:t>
      </w:r>
    </w:p>
    <w:p w14:paraId="117E7377" w14:textId="77777777" w:rsidR="001B15F1" w:rsidRPr="00E602DC" w:rsidRDefault="001B15F1">
      <w:pPr>
        <w:widowControl w:val="0"/>
        <w:jc w:val="both"/>
        <w:rPr>
          <w:b/>
          <w:bCs/>
          <w:color w:val="000000" w:themeColor="text1"/>
          <w:sz w:val="22"/>
          <w:szCs w:val="22"/>
          <w:lang w:val="pt-BR"/>
        </w:rPr>
      </w:pPr>
    </w:p>
    <w:p w14:paraId="3B2047D7" w14:textId="77777777" w:rsidR="001B15F1" w:rsidRPr="00E602DC" w:rsidRDefault="00000000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  <w:r w:rsidRPr="00E602DC">
        <w:rPr>
          <w:b/>
          <w:bCs/>
          <w:color w:val="000000" w:themeColor="text1"/>
          <w:sz w:val="22"/>
          <w:szCs w:val="22"/>
          <w:lang w:val="pt-BR"/>
        </w:rPr>
        <w:t xml:space="preserve">Palavras-chave: </w:t>
      </w:r>
      <w:r w:rsidRPr="00E602DC">
        <w:rPr>
          <w:color w:val="000000" w:themeColor="text1"/>
          <w:sz w:val="22"/>
          <w:szCs w:val="22"/>
          <w:lang w:val="pt-BR"/>
        </w:rPr>
        <w:t>Avaliação RAGAS. Conformidade de dados. LGPD. Processamento de linguagem natural. Recuperação aumentada de geração.</w:t>
      </w:r>
    </w:p>
    <w:p w14:paraId="6070D201" w14:textId="77777777" w:rsidR="001B15F1" w:rsidRPr="00E602DC" w:rsidRDefault="001B15F1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</w:p>
    <w:p w14:paraId="63355477" w14:textId="77777777" w:rsidR="001B15F1" w:rsidRPr="00E602DC" w:rsidRDefault="001B15F1">
      <w:pPr>
        <w:widowControl w:val="0"/>
        <w:jc w:val="both"/>
        <w:rPr>
          <w:color w:val="000000" w:themeColor="text1"/>
          <w:sz w:val="22"/>
          <w:szCs w:val="22"/>
          <w:lang w:val="pt-BR"/>
        </w:rPr>
        <w:sectPr w:rsidR="001B15F1" w:rsidRPr="00E602DC">
          <w:headerReference w:type="default" r:id="rId8"/>
          <w:pgSz w:w="11906" w:h="16838"/>
          <w:pgMar w:top="1692" w:right="912" w:bottom="1692" w:left="912" w:header="566" w:footer="1201" w:gutter="0"/>
          <w:pgNumType w:start="2"/>
          <w:cols w:space="720"/>
        </w:sectPr>
      </w:pPr>
    </w:p>
    <w:p w14:paraId="0FF64CD9" w14:textId="77777777" w:rsidR="001B15F1" w:rsidRPr="00E602DC" w:rsidRDefault="00000000">
      <w:pPr>
        <w:widowControl w:val="0"/>
        <w:shd w:val="clear" w:color="auto" w:fill="D5DCE4"/>
        <w:jc w:val="center"/>
        <w:rPr>
          <w:color w:val="000000" w:themeColor="text1"/>
          <w:sz w:val="22"/>
          <w:szCs w:val="22"/>
          <w:lang w:val="pt-BR"/>
        </w:rPr>
      </w:pPr>
      <w:r w:rsidRPr="00E602DC">
        <w:rPr>
          <w:b/>
          <w:bCs/>
          <w:color w:val="000000" w:themeColor="text1"/>
          <w:lang w:val="pt-BR"/>
        </w:rPr>
        <w:t xml:space="preserve">Introdução </w:t>
      </w:r>
    </w:p>
    <w:p w14:paraId="76EEDEB8" w14:textId="77777777" w:rsidR="001B15F1" w:rsidRPr="00E602DC" w:rsidRDefault="001B15F1">
      <w:pPr>
        <w:widowControl w:val="0"/>
        <w:jc w:val="both"/>
        <w:rPr>
          <w:b/>
          <w:bCs/>
          <w:color w:val="000000" w:themeColor="text1"/>
          <w:sz w:val="22"/>
          <w:szCs w:val="22"/>
          <w:lang w:val="pt-BR"/>
        </w:rPr>
      </w:pPr>
    </w:p>
    <w:p w14:paraId="44E33A65" w14:textId="77777777" w:rsidR="001B15F1" w:rsidRPr="00E602DC" w:rsidRDefault="00000000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  <w:r w:rsidRPr="00E602DC">
        <w:rPr>
          <w:color w:val="000000" w:themeColor="text1"/>
          <w:sz w:val="22"/>
          <w:szCs w:val="22"/>
          <w:lang w:val="pt-BR"/>
        </w:rPr>
        <w:t>A Lei Geral de Proteção de Dados (LGPD, Lei nº 13.709/2018) exige que organizações verifiquem se seus sistemas tratam dados pessoais em conformidade com princípios como finalidade, adequação, necessidade e transparência (BRASIL, 2018). Na prática, essa verificação costuma ser manual: consultores confrontam, artigo a artigo, a estrutura do banco de dados e o termo de tratamento de dados de cada cliente com o texto legal, em um processo lento, custoso e pouco escalável, cujo resultado depende fortemente da experiência de quem o conduz.</w:t>
      </w:r>
    </w:p>
    <w:p w14:paraId="5C4410C7" w14:textId="77777777" w:rsidR="001B15F1" w:rsidRPr="00E602DC" w:rsidRDefault="001B15F1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</w:p>
    <w:p w14:paraId="3A448533" w14:textId="77777777" w:rsidR="001B15F1" w:rsidRPr="00E602DC" w:rsidRDefault="00000000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  <w:r w:rsidRPr="00E602DC">
        <w:rPr>
          <w:color w:val="000000" w:themeColor="text1"/>
          <w:sz w:val="22"/>
          <w:szCs w:val="22"/>
          <w:lang w:val="pt-BR"/>
        </w:rPr>
        <w:t>A justificativa para este trabalho está justamente nesse gargalo. O número de sistemas que tratam dados pessoais cresce continuamente, enquanto a auditoria de conformidade permanece artesanal; além do custo, a revisão manual é suscetível a omissões, sobretudo quando o volume de tabelas e cláusulas contratuais é grande. Automatizar ao menos a etapa de comparação entre o que o sistema armazena, o que a organização declara tratar e o que a lei determina permite que o especialista concentre seu tempo na análise dos achados, e não na sua coleta.</w:t>
      </w:r>
    </w:p>
    <w:p w14:paraId="71B6C65F" w14:textId="77777777" w:rsidR="001B15F1" w:rsidRPr="00E602DC" w:rsidRDefault="001B15F1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</w:p>
    <w:p w14:paraId="0BE52A58" w14:textId="77777777" w:rsidR="001B15F1" w:rsidRPr="00E602DC" w:rsidRDefault="00000000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  <w:r w:rsidRPr="00E602DC">
        <w:rPr>
          <w:color w:val="000000" w:themeColor="text1"/>
          <w:sz w:val="22"/>
          <w:szCs w:val="22"/>
          <w:lang w:val="pt-BR"/>
        </w:rPr>
        <w:t xml:space="preserve">Este trabalho de Iniciação Científica tem como objetivo geral investigar o uso de Recuperação Aumentada de Geração (RAG) e de modelos de linguagem de grande porte como apoio à auditoria de conformidade com a LGPD, por meio do desenvolvimento da plataforma </w:t>
      </w:r>
      <w:proofErr w:type="spellStart"/>
      <w:r w:rsidRPr="00E602DC">
        <w:rPr>
          <w:color w:val="000000" w:themeColor="text1"/>
          <w:sz w:val="22"/>
          <w:szCs w:val="22"/>
          <w:lang w:val="pt-BR"/>
        </w:rPr>
        <w:t>LexRAG</w:t>
      </w:r>
      <w:proofErr w:type="spellEnd"/>
      <w:r w:rsidRPr="00E602DC">
        <w:rPr>
          <w:color w:val="000000" w:themeColor="text1"/>
          <w:sz w:val="22"/>
          <w:szCs w:val="22"/>
          <w:lang w:val="pt-BR"/>
        </w:rPr>
        <w:t xml:space="preserve">. São objetivos específicos: (i) construir um pipeline capaz de receber o esquema de um banco de </w:t>
      </w:r>
      <w:r w:rsidRPr="00E602DC">
        <w:rPr>
          <w:color w:val="000000" w:themeColor="text1"/>
          <w:sz w:val="22"/>
          <w:szCs w:val="22"/>
          <w:lang w:val="pt-BR"/>
        </w:rPr>
        <w:t>dados e o termo de tratamento de dados de um cliente e gerar um relatório de conformidade estruturado; (</w:t>
      </w:r>
      <w:proofErr w:type="spellStart"/>
      <w:r w:rsidRPr="00E602DC">
        <w:rPr>
          <w:color w:val="000000" w:themeColor="text1"/>
          <w:sz w:val="22"/>
          <w:szCs w:val="22"/>
          <w:lang w:val="pt-BR"/>
        </w:rPr>
        <w:t>ii</w:t>
      </w:r>
      <w:proofErr w:type="spellEnd"/>
      <w:r w:rsidRPr="00E602DC">
        <w:rPr>
          <w:color w:val="000000" w:themeColor="text1"/>
          <w:sz w:val="22"/>
          <w:szCs w:val="22"/>
          <w:lang w:val="pt-BR"/>
        </w:rPr>
        <w:t>) tornar esse relatório consultável em linguagem natural por meio de um chat apoiado em recuperação híbrida; (</w:t>
      </w:r>
      <w:proofErr w:type="spellStart"/>
      <w:r w:rsidRPr="00E602DC">
        <w:rPr>
          <w:color w:val="000000" w:themeColor="text1"/>
          <w:sz w:val="22"/>
          <w:szCs w:val="22"/>
          <w:lang w:val="pt-BR"/>
        </w:rPr>
        <w:t>iii</w:t>
      </w:r>
      <w:proofErr w:type="spellEnd"/>
      <w:r w:rsidRPr="00E602DC">
        <w:rPr>
          <w:color w:val="000000" w:themeColor="text1"/>
          <w:sz w:val="22"/>
          <w:szCs w:val="22"/>
          <w:lang w:val="pt-BR"/>
        </w:rPr>
        <w:t>) avaliar automaticamente a qualidade das respostas geradas; e (</w:t>
      </w:r>
      <w:proofErr w:type="spellStart"/>
      <w:r w:rsidRPr="00E602DC">
        <w:rPr>
          <w:color w:val="000000" w:themeColor="text1"/>
          <w:sz w:val="22"/>
          <w:szCs w:val="22"/>
          <w:lang w:val="pt-BR"/>
        </w:rPr>
        <w:t>iv</w:t>
      </w:r>
      <w:proofErr w:type="spellEnd"/>
      <w:r w:rsidRPr="00E602DC">
        <w:rPr>
          <w:color w:val="000000" w:themeColor="text1"/>
          <w:sz w:val="22"/>
          <w:szCs w:val="22"/>
          <w:lang w:val="pt-BR"/>
        </w:rPr>
        <w:t>) validar o conjunto em um estudo de caso controlado.</w:t>
      </w:r>
    </w:p>
    <w:p w14:paraId="719620F2" w14:textId="77777777" w:rsidR="001B15F1" w:rsidRPr="00E602DC" w:rsidRDefault="001B15F1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</w:p>
    <w:p w14:paraId="277ADFD9" w14:textId="77777777" w:rsidR="001B15F1" w:rsidRPr="00E602DC" w:rsidRDefault="00000000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  <w:r w:rsidRPr="00E602DC">
        <w:rPr>
          <w:color w:val="000000" w:themeColor="text1"/>
          <w:sz w:val="22"/>
          <w:szCs w:val="22"/>
          <w:lang w:val="pt-BR"/>
        </w:rPr>
        <w:t xml:space="preserve">A técnica RAG combina recuperação de informação e modelos generativos. Antes da resposta, trechos relevantes são recuperados de uma base documental e fornecidos ao modelo como contexto, reduzindo a dependência do conhecimento armazenado em seus parâmetros e, com isso, a ocorrência de informações inventadas (LEWIS et al., 2020). Neste trabalho, a busca é híbrida: combina a similaridade semântica entre </w:t>
      </w:r>
      <w:proofErr w:type="spellStart"/>
      <w:r w:rsidRPr="00E602DC">
        <w:rPr>
          <w:color w:val="000000" w:themeColor="text1"/>
          <w:sz w:val="22"/>
          <w:szCs w:val="22"/>
          <w:lang w:val="pt-BR"/>
        </w:rPr>
        <w:t>embeddings</w:t>
      </w:r>
      <w:proofErr w:type="spellEnd"/>
      <w:r w:rsidRPr="00E602DC">
        <w:rPr>
          <w:color w:val="000000" w:themeColor="text1"/>
          <w:sz w:val="22"/>
          <w:szCs w:val="22"/>
          <w:lang w:val="pt-BR"/>
        </w:rPr>
        <w:t xml:space="preserve">, armazenados com a extensão </w:t>
      </w:r>
      <w:proofErr w:type="spellStart"/>
      <w:r w:rsidRPr="00E602DC">
        <w:rPr>
          <w:color w:val="000000" w:themeColor="text1"/>
          <w:sz w:val="22"/>
          <w:szCs w:val="22"/>
          <w:lang w:val="pt-BR"/>
        </w:rPr>
        <w:t>pgvector</w:t>
      </w:r>
      <w:proofErr w:type="spellEnd"/>
      <w:r w:rsidRPr="00E602DC">
        <w:rPr>
          <w:color w:val="000000" w:themeColor="text1"/>
          <w:sz w:val="22"/>
          <w:szCs w:val="22"/>
          <w:lang w:val="pt-BR"/>
        </w:rPr>
        <w:t>, e a busca lexical por BM25 (ROBERTSON; ZARAGOZA, 2009). Essa combinação é adequada a documentos jurídicos, nos quais consultas em linguagem natural se beneficiam da similaridade de significado, enquanto a citação de artigos e de expressões legais exige correspondência literal.</w:t>
      </w:r>
    </w:p>
    <w:p w14:paraId="2FEA4C18" w14:textId="77777777" w:rsidR="001B15F1" w:rsidRPr="00E602DC" w:rsidRDefault="001B15F1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</w:p>
    <w:p w14:paraId="4A75FA67" w14:textId="77777777" w:rsidR="001B15F1" w:rsidRPr="00E602DC" w:rsidRDefault="00000000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  <w:r w:rsidRPr="00E602DC">
        <w:rPr>
          <w:color w:val="000000" w:themeColor="text1"/>
          <w:sz w:val="22"/>
          <w:szCs w:val="22"/>
          <w:lang w:val="pt-BR"/>
        </w:rPr>
        <w:t>A qualidade das respostas é medida pelo framework RAGAS (ES et al., 2023), que avalia separadamente a etapa de recuperação e a etapa de geração utilizando outro modelo de linguagem como juiz automático, o que dispensa a revisão humana a cada alteração do pipeline.</w:t>
      </w:r>
    </w:p>
    <w:p w14:paraId="2B141869" w14:textId="77777777" w:rsidR="001B15F1" w:rsidRPr="00E602DC" w:rsidRDefault="001B15F1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</w:p>
    <w:p w14:paraId="3CF94990" w14:textId="77777777" w:rsidR="001B15F1" w:rsidRPr="00E602DC" w:rsidRDefault="00000000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  <w:r w:rsidRPr="00E602DC">
        <w:rPr>
          <w:color w:val="000000" w:themeColor="text1"/>
          <w:sz w:val="22"/>
          <w:szCs w:val="22"/>
          <w:lang w:val="pt-BR"/>
        </w:rPr>
        <w:t xml:space="preserve">Quanto ao método, a pesquisa caracteriza-se como aplicada e de natureza exploratória, conduzida pelo desenvolvimento de um protótipo funcional e avaliada </w:t>
      </w:r>
      <w:r w:rsidRPr="00E602DC">
        <w:rPr>
          <w:color w:val="000000" w:themeColor="text1"/>
          <w:sz w:val="22"/>
          <w:szCs w:val="22"/>
          <w:lang w:val="pt-BR"/>
        </w:rPr>
        <w:lastRenderedPageBreak/>
        <w:t>por meio de um estudo de caso com dados fictícios. O procedimento adotado compreendeu quatro etapas: levantamento e indexação do texto da LGPD; construção do pipeline de análise e do chat de consulta; definição de um conjunto de referência e das métricas de avaliação; e execução do estudo de caso com discussão dos resultados. As seções seguintes detalham cada uma dessas etapas.</w:t>
      </w:r>
    </w:p>
    <w:p w14:paraId="4287F5D9" w14:textId="77777777" w:rsidR="001B15F1" w:rsidRPr="00E602DC" w:rsidRDefault="001B15F1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</w:p>
    <w:p w14:paraId="74EF6C2E" w14:textId="77777777" w:rsidR="001B15F1" w:rsidRPr="00E602DC" w:rsidRDefault="00000000">
      <w:pPr>
        <w:widowControl w:val="0"/>
        <w:shd w:val="clear" w:color="auto" w:fill="D5DCE4"/>
        <w:jc w:val="center"/>
        <w:rPr>
          <w:color w:val="000000" w:themeColor="text1"/>
          <w:sz w:val="22"/>
          <w:szCs w:val="22"/>
          <w:lang w:val="pt-BR"/>
        </w:rPr>
      </w:pPr>
      <w:r w:rsidRPr="00E602DC">
        <w:rPr>
          <w:b/>
          <w:bCs/>
          <w:color w:val="000000" w:themeColor="text1"/>
          <w:lang w:val="pt-BR"/>
        </w:rPr>
        <w:t xml:space="preserve">Metodologia </w:t>
      </w:r>
    </w:p>
    <w:p w14:paraId="20162590" w14:textId="77777777" w:rsidR="001B15F1" w:rsidRPr="00E602DC" w:rsidRDefault="001B15F1">
      <w:pPr>
        <w:widowControl w:val="0"/>
        <w:jc w:val="both"/>
        <w:rPr>
          <w:b/>
          <w:bCs/>
          <w:color w:val="000000" w:themeColor="text1"/>
          <w:sz w:val="22"/>
          <w:szCs w:val="22"/>
          <w:lang w:val="pt-BR"/>
        </w:rPr>
      </w:pPr>
    </w:p>
    <w:p w14:paraId="0CABBABD" w14:textId="77777777" w:rsidR="001B15F1" w:rsidRPr="00E602DC" w:rsidRDefault="00000000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  <w:r w:rsidRPr="00E602DC">
        <w:rPr>
          <w:color w:val="000000" w:themeColor="text1"/>
          <w:sz w:val="22"/>
          <w:szCs w:val="22"/>
          <w:lang w:val="pt-BR"/>
        </w:rPr>
        <w:t xml:space="preserve">A plataforma </w:t>
      </w:r>
      <w:proofErr w:type="spellStart"/>
      <w:r w:rsidRPr="00E602DC">
        <w:rPr>
          <w:color w:val="000000" w:themeColor="text1"/>
          <w:sz w:val="22"/>
          <w:szCs w:val="22"/>
          <w:lang w:val="pt-BR"/>
        </w:rPr>
        <w:t>LexRAG</w:t>
      </w:r>
      <w:proofErr w:type="spellEnd"/>
      <w:r w:rsidRPr="00E602DC">
        <w:rPr>
          <w:color w:val="000000" w:themeColor="text1"/>
          <w:sz w:val="22"/>
          <w:szCs w:val="22"/>
          <w:lang w:val="pt-BR"/>
        </w:rPr>
        <w:t xml:space="preserve"> foi implementada em Python, com </w:t>
      </w:r>
      <w:proofErr w:type="spellStart"/>
      <w:r w:rsidRPr="00E602DC">
        <w:rPr>
          <w:color w:val="000000" w:themeColor="text1"/>
          <w:sz w:val="22"/>
          <w:szCs w:val="22"/>
          <w:lang w:val="pt-BR"/>
        </w:rPr>
        <w:t>back-end</w:t>
      </w:r>
      <w:proofErr w:type="spellEnd"/>
      <w:r w:rsidRPr="00E602DC">
        <w:rPr>
          <w:color w:val="000000" w:themeColor="text1"/>
          <w:sz w:val="22"/>
          <w:szCs w:val="22"/>
          <w:lang w:val="pt-BR"/>
        </w:rPr>
        <w:t xml:space="preserve"> em </w:t>
      </w:r>
      <w:proofErr w:type="spellStart"/>
      <w:r w:rsidRPr="00E602DC">
        <w:rPr>
          <w:color w:val="000000" w:themeColor="text1"/>
          <w:sz w:val="22"/>
          <w:szCs w:val="22"/>
          <w:lang w:val="pt-BR"/>
        </w:rPr>
        <w:t>FastAPI</w:t>
      </w:r>
      <w:proofErr w:type="spellEnd"/>
      <w:r w:rsidRPr="00E602DC">
        <w:rPr>
          <w:color w:val="000000" w:themeColor="text1"/>
          <w:sz w:val="22"/>
          <w:szCs w:val="22"/>
          <w:lang w:val="pt-BR"/>
        </w:rPr>
        <w:t xml:space="preserve"> e persistência em PostgreSQL com a extensão </w:t>
      </w:r>
      <w:proofErr w:type="spellStart"/>
      <w:r w:rsidRPr="00E602DC">
        <w:rPr>
          <w:color w:val="000000" w:themeColor="text1"/>
          <w:sz w:val="22"/>
          <w:szCs w:val="22"/>
          <w:lang w:val="pt-BR"/>
        </w:rPr>
        <w:t>pgvector</w:t>
      </w:r>
      <w:proofErr w:type="spellEnd"/>
      <w:r w:rsidRPr="00E602DC">
        <w:rPr>
          <w:color w:val="000000" w:themeColor="text1"/>
          <w:sz w:val="22"/>
          <w:szCs w:val="22"/>
          <w:lang w:val="pt-BR"/>
        </w:rPr>
        <w:t xml:space="preserve">, responsável por armazenar e comparar os vetores de </w:t>
      </w:r>
      <w:proofErr w:type="spellStart"/>
      <w:r w:rsidRPr="00E602DC">
        <w:rPr>
          <w:color w:val="000000" w:themeColor="text1"/>
          <w:sz w:val="22"/>
          <w:szCs w:val="22"/>
          <w:lang w:val="pt-BR"/>
        </w:rPr>
        <w:t>embedding</w:t>
      </w:r>
      <w:proofErr w:type="spellEnd"/>
      <w:r w:rsidRPr="00E602DC">
        <w:rPr>
          <w:color w:val="000000" w:themeColor="text1"/>
          <w:sz w:val="22"/>
          <w:szCs w:val="22"/>
          <w:lang w:val="pt-BR"/>
        </w:rPr>
        <w:t xml:space="preserve">. A interface web foi desenvolvida em </w:t>
      </w:r>
      <w:proofErr w:type="spellStart"/>
      <w:r w:rsidRPr="00E602DC">
        <w:rPr>
          <w:color w:val="000000" w:themeColor="text1"/>
          <w:sz w:val="22"/>
          <w:szCs w:val="22"/>
          <w:lang w:val="pt-BR"/>
        </w:rPr>
        <w:t>React</w:t>
      </w:r>
      <w:proofErr w:type="spellEnd"/>
      <w:r w:rsidRPr="00E602DC">
        <w:rPr>
          <w:color w:val="000000" w:themeColor="text1"/>
          <w:sz w:val="22"/>
          <w:szCs w:val="22"/>
          <w:lang w:val="pt-BR"/>
        </w:rPr>
        <w:t xml:space="preserve"> com </w:t>
      </w:r>
      <w:proofErr w:type="spellStart"/>
      <w:r w:rsidRPr="00E602DC">
        <w:rPr>
          <w:color w:val="000000" w:themeColor="text1"/>
          <w:sz w:val="22"/>
          <w:szCs w:val="22"/>
          <w:lang w:val="pt-BR"/>
        </w:rPr>
        <w:t>TypeScript</w:t>
      </w:r>
      <w:proofErr w:type="spellEnd"/>
      <w:r w:rsidRPr="00E602DC">
        <w:rPr>
          <w:color w:val="000000" w:themeColor="text1"/>
          <w:sz w:val="22"/>
          <w:szCs w:val="22"/>
          <w:lang w:val="pt-BR"/>
        </w:rPr>
        <w:t xml:space="preserve">. A arquitetura é </w:t>
      </w:r>
      <w:proofErr w:type="spellStart"/>
      <w:r w:rsidRPr="00E602DC">
        <w:rPr>
          <w:color w:val="000000" w:themeColor="text1"/>
          <w:sz w:val="22"/>
          <w:szCs w:val="22"/>
          <w:lang w:val="pt-BR"/>
        </w:rPr>
        <w:t>multi-tenant</w:t>
      </w:r>
      <w:proofErr w:type="spellEnd"/>
      <w:r w:rsidRPr="00E602DC">
        <w:rPr>
          <w:color w:val="000000" w:themeColor="text1"/>
          <w:sz w:val="22"/>
          <w:szCs w:val="22"/>
          <w:lang w:val="pt-BR"/>
        </w:rPr>
        <w:t>: cada cliente possui seu próprio banco de dados isolado, criado sob demanda, de modo que documentos e relatórios de um cliente nunca compartilham armazenamento com os de outro.</w:t>
      </w:r>
    </w:p>
    <w:p w14:paraId="3327ABB1" w14:textId="77777777" w:rsidR="001B15F1" w:rsidRPr="00E602DC" w:rsidRDefault="001B15F1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</w:p>
    <w:p w14:paraId="13F286A3" w14:textId="77777777" w:rsidR="001B15F1" w:rsidRPr="00E602DC" w:rsidRDefault="00000000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  <w:r w:rsidRPr="00E602DC">
        <w:rPr>
          <w:color w:val="000000" w:themeColor="text1"/>
          <w:sz w:val="22"/>
          <w:szCs w:val="22"/>
          <w:lang w:val="pt-BR"/>
        </w:rPr>
        <w:t>A base de conhecimento é construída a partir do texto integral da LGPD, que é coletado, segmentado em trechos (</w:t>
      </w:r>
      <w:proofErr w:type="spellStart"/>
      <w:r w:rsidRPr="00E602DC">
        <w:rPr>
          <w:color w:val="000000" w:themeColor="text1"/>
          <w:sz w:val="22"/>
          <w:szCs w:val="22"/>
          <w:lang w:val="pt-BR"/>
        </w:rPr>
        <w:t>chunks</w:t>
      </w:r>
      <w:proofErr w:type="spellEnd"/>
      <w:r w:rsidRPr="00E602DC">
        <w:rPr>
          <w:color w:val="000000" w:themeColor="text1"/>
          <w:sz w:val="22"/>
          <w:szCs w:val="22"/>
          <w:lang w:val="pt-BR"/>
        </w:rPr>
        <w:t xml:space="preserve">) e indexado. Cada trecho recebe um vetor de </w:t>
      </w:r>
      <w:proofErr w:type="spellStart"/>
      <w:r w:rsidRPr="00E602DC">
        <w:rPr>
          <w:color w:val="000000" w:themeColor="text1"/>
          <w:sz w:val="22"/>
          <w:szCs w:val="22"/>
          <w:lang w:val="pt-BR"/>
        </w:rPr>
        <w:t>embedding</w:t>
      </w:r>
      <w:proofErr w:type="spellEnd"/>
      <w:r w:rsidRPr="00E602DC">
        <w:rPr>
          <w:color w:val="000000" w:themeColor="text1"/>
          <w:sz w:val="22"/>
          <w:szCs w:val="22"/>
          <w:lang w:val="pt-BR"/>
        </w:rPr>
        <w:t xml:space="preserve"> gerado pelo modelo BGE-M3, que representa seu significado em forma numérica e permite recuperar trechos semanticamente próximos de uma consulta.</w:t>
      </w:r>
    </w:p>
    <w:p w14:paraId="5A23CCD1" w14:textId="77777777" w:rsidR="001B15F1" w:rsidRPr="00E602DC" w:rsidRDefault="001B15F1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</w:p>
    <w:p w14:paraId="2A755135" w14:textId="77777777" w:rsidR="001B15F1" w:rsidRPr="00E602DC" w:rsidRDefault="00000000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  <w:r w:rsidRPr="00E602DC">
        <w:rPr>
          <w:color w:val="000000" w:themeColor="text1"/>
          <w:sz w:val="22"/>
          <w:szCs w:val="22"/>
          <w:lang w:val="pt-BR"/>
        </w:rPr>
        <w:t>O fluxo de análise recebe, por upload, a estrutura do banco de dados do cliente (</w:t>
      </w:r>
      <w:proofErr w:type="spellStart"/>
      <w:r w:rsidRPr="00E602DC">
        <w:rPr>
          <w:color w:val="000000" w:themeColor="text1"/>
          <w:sz w:val="22"/>
          <w:szCs w:val="22"/>
          <w:lang w:val="pt-BR"/>
        </w:rPr>
        <w:t>schema</w:t>
      </w:r>
      <w:proofErr w:type="spellEnd"/>
      <w:r w:rsidRPr="00E602DC">
        <w:rPr>
          <w:color w:val="000000" w:themeColor="text1"/>
          <w:sz w:val="22"/>
          <w:szCs w:val="22"/>
          <w:lang w:val="pt-BR"/>
        </w:rPr>
        <w:t xml:space="preserve">) e o termo de tratamento de dados. O texto de ambos é combinado com os trechos recuperados da LGPD em um comando (prompt) estruturado e processado em segundo plano por um modelo de linguagem executado localmente (Qwen2.5 7B, via </w:t>
      </w:r>
      <w:proofErr w:type="spellStart"/>
      <w:r w:rsidRPr="00E602DC">
        <w:rPr>
          <w:color w:val="000000" w:themeColor="text1"/>
          <w:sz w:val="22"/>
          <w:szCs w:val="22"/>
          <w:lang w:val="pt-BR"/>
        </w:rPr>
        <w:t>Ollama</w:t>
      </w:r>
      <w:proofErr w:type="spellEnd"/>
      <w:r w:rsidRPr="00E602DC">
        <w:rPr>
          <w:color w:val="000000" w:themeColor="text1"/>
          <w:sz w:val="22"/>
          <w:szCs w:val="22"/>
          <w:lang w:val="pt-BR"/>
        </w:rPr>
        <w:t>). A execução local evita a dependência de serviços de IA pagos e mantém os documentos do cliente dentro da própria infraestrutura, o que é relevante em um contexto de proteção de dados.</w:t>
      </w:r>
    </w:p>
    <w:p w14:paraId="71B92B94" w14:textId="77777777" w:rsidR="001B15F1" w:rsidRPr="00E602DC" w:rsidRDefault="001B15F1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</w:p>
    <w:p w14:paraId="67C9B7FC" w14:textId="77777777" w:rsidR="001B15F1" w:rsidRPr="00E602DC" w:rsidRDefault="00000000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  <w:r w:rsidRPr="00E602DC">
        <w:rPr>
          <w:color w:val="000000" w:themeColor="text1"/>
          <w:sz w:val="22"/>
          <w:szCs w:val="22"/>
          <w:lang w:val="pt-BR"/>
        </w:rPr>
        <w:t xml:space="preserve">A resposta do modelo é validada contra um formato estruturado, composto por resumo executivo, pontos corretos, pontos em desacordo, artigos aplicáveis, riscos e recomendações. Cada parte do relatório é novamente dividida em trechos, que recebem </w:t>
      </w:r>
      <w:proofErr w:type="spellStart"/>
      <w:r w:rsidRPr="00E602DC">
        <w:rPr>
          <w:color w:val="000000" w:themeColor="text1"/>
          <w:sz w:val="22"/>
          <w:szCs w:val="22"/>
          <w:lang w:val="pt-BR"/>
        </w:rPr>
        <w:t>embeddings</w:t>
      </w:r>
      <w:proofErr w:type="spellEnd"/>
      <w:r w:rsidRPr="00E602DC">
        <w:rPr>
          <w:color w:val="000000" w:themeColor="text1"/>
          <w:sz w:val="22"/>
          <w:szCs w:val="22"/>
          <w:lang w:val="pt-BR"/>
        </w:rPr>
        <w:t xml:space="preserve"> do mesmo modelo (BGE-M3) e ficam armazenados no banco. Com isso, o relatório torna-se consultável e passa a servir como única fonte de verdade do sistema: tanto o chat quanto a avaliação automática operam sobre ele, e não sobre os documentos originais.</w:t>
      </w:r>
    </w:p>
    <w:p w14:paraId="40A43C0D" w14:textId="77777777" w:rsidR="001B15F1" w:rsidRPr="00E602DC" w:rsidRDefault="001B15F1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</w:p>
    <w:p w14:paraId="77A0A213" w14:textId="77777777" w:rsidR="001B15F1" w:rsidRPr="00E602DC" w:rsidRDefault="00000000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  <w:r w:rsidRPr="00E602DC">
        <w:rPr>
          <w:color w:val="000000" w:themeColor="text1"/>
          <w:sz w:val="22"/>
          <w:szCs w:val="22"/>
          <w:lang w:val="pt-BR"/>
        </w:rPr>
        <w:t xml:space="preserve">A recuperação utilizada pelo chat de consulta é híbrida. </w:t>
      </w:r>
      <w:r w:rsidRPr="00E602DC">
        <w:rPr>
          <w:color w:val="000000" w:themeColor="text1"/>
          <w:sz w:val="22"/>
          <w:szCs w:val="22"/>
          <w:lang w:val="pt-BR"/>
        </w:rPr>
        <w:t xml:space="preserve">A pergunta do usuário é convertida em </w:t>
      </w:r>
      <w:proofErr w:type="spellStart"/>
      <w:r w:rsidRPr="00E602DC">
        <w:rPr>
          <w:color w:val="000000" w:themeColor="text1"/>
          <w:sz w:val="22"/>
          <w:szCs w:val="22"/>
          <w:lang w:val="pt-BR"/>
        </w:rPr>
        <w:t>embedding</w:t>
      </w:r>
      <w:proofErr w:type="spellEnd"/>
      <w:r w:rsidRPr="00E602DC">
        <w:rPr>
          <w:color w:val="000000" w:themeColor="text1"/>
          <w:sz w:val="22"/>
          <w:szCs w:val="22"/>
          <w:lang w:val="pt-BR"/>
        </w:rPr>
        <w:t xml:space="preserve"> pelo BGE-M3 e comparada aos trechos do relatório por similaridade semântica, calculada pelo </w:t>
      </w:r>
      <w:proofErr w:type="spellStart"/>
      <w:r w:rsidRPr="00E602DC">
        <w:rPr>
          <w:color w:val="000000" w:themeColor="text1"/>
          <w:sz w:val="22"/>
          <w:szCs w:val="22"/>
          <w:lang w:val="pt-BR"/>
        </w:rPr>
        <w:t>pgvector</w:t>
      </w:r>
      <w:proofErr w:type="spellEnd"/>
      <w:r w:rsidRPr="00E602DC">
        <w:rPr>
          <w:color w:val="000000" w:themeColor="text1"/>
          <w:sz w:val="22"/>
          <w:szCs w:val="22"/>
          <w:lang w:val="pt-BR"/>
        </w:rPr>
        <w:t>; em paralelo, a mesma pergunta alimenta uma busca lexical por BM25. Os trechos mais relevantes resultantes dessa combinação são fornecidos ao Qwen2.5, que gera a resposta em linguagem natural fundamentada exclusivamente neles.</w:t>
      </w:r>
    </w:p>
    <w:p w14:paraId="6876AD8F" w14:textId="77777777" w:rsidR="001B15F1" w:rsidRPr="00E602DC" w:rsidRDefault="001B15F1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</w:p>
    <w:p w14:paraId="2BED2E21" w14:textId="77777777" w:rsidR="001B15F1" w:rsidRPr="00E602DC" w:rsidRDefault="00000000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  <w:r w:rsidRPr="00E602DC">
        <w:rPr>
          <w:color w:val="000000" w:themeColor="text1"/>
          <w:sz w:val="22"/>
          <w:szCs w:val="22"/>
          <w:lang w:val="pt-BR"/>
        </w:rPr>
        <w:t>Para avaliar esse processo de forma sistemática, foi criado um conjunto de referência (</w:t>
      </w:r>
      <w:proofErr w:type="spellStart"/>
      <w:r w:rsidRPr="00E602DC">
        <w:rPr>
          <w:color w:val="000000" w:themeColor="text1"/>
          <w:sz w:val="22"/>
          <w:szCs w:val="22"/>
          <w:lang w:val="pt-BR"/>
        </w:rPr>
        <w:t>golden</w:t>
      </w:r>
      <w:proofErr w:type="spellEnd"/>
      <w:r w:rsidRPr="00E602DC">
        <w:rPr>
          <w:color w:val="000000" w:themeColor="text1"/>
          <w:sz w:val="22"/>
          <w:szCs w:val="22"/>
          <w:lang w:val="pt-BR"/>
        </w:rPr>
        <w:t xml:space="preserve"> </w:t>
      </w:r>
      <w:proofErr w:type="spellStart"/>
      <w:r w:rsidRPr="00E602DC">
        <w:rPr>
          <w:color w:val="000000" w:themeColor="text1"/>
          <w:sz w:val="22"/>
          <w:szCs w:val="22"/>
          <w:lang w:val="pt-BR"/>
        </w:rPr>
        <w:t>dataset</w:t>
      </w:r>
      <w:proofErr w:type="spellEnd"/>
      <w:r w:rsidRPr="00E602DC">
        <w:rPr>
          <w:color w:val="000000" w:themeColor="text1"/>
          <w:sz w:val="22"/>
          <w:szCs w:val="22"/>
          <w:lang w:val="pt-BR"/>
        </w:rPr>
        <w:t>), gerado a partir do relatório publicado e atualizado a cada nova publicação. A qualidade de cada resposta é medida por quatro métricas RAGAS: fidelidade (</w:t>
      </w:r>
      <w:proofErr w:type="spellStart"/>
      <w:r w:rsidRPr="00E602DC">
        <w:rPr>
          <w:color w:val="000000" w:themeColor="text1"/>
          <w:sz w:val="22"/>
          <w:szCs w:val="22"/>
          <w:lang w:val="pt-BR"/>
        </w:rPr>
        <w:t>faithfulness</w:t>
      </w:r>
      <w:proofErr w:type="spellEnd"/>
      <w:r w:rsidRPr="00E602DC">
        <w:rPr>
          <w:color w:val="000000" w:themeColor="text1"/>
          <w:sz w:val="22"/>
          <w:szCs w:val="22"/>
          <w:lang w:val="pt-BR"/>
        </w:rPr>
        <w:t>), que verifica se a resposta não contém informações ausentes dos trechos recuperados; relevância da resposta (</w:t>
      </w:r>
      <w:proofErr w:type="spellStart"/>
      <w:r w:rsidRPr="00E602DC">
        <w:rPr>
          <w:color w:val="000000" w:themeColor="text1"/>
          <w:sz w:val="22"/>
          <w:szCs w:val="22"/>
          <w:lang w:val="pt-BR"/>
        </w:rPr>
        <w:t>answer</w:t>
      </w:r>
      <w:proofErr w:type="spellEnd"/>
      <w:r w:rsidRPr="00E602DC">
        <w:rPr>
          <w:color w:val="000000" w:themeColor="text1"/>
          <w:sz w:val="22"/>
          <w:szCs w:val="22"/>
          <w:lang w:val="pt-BR"/>
        </w:rPr>
        <w:t xml:space="preserve"> </w:t>
      </w:r>
      <w:proofErr w:type="spellStart"/>
      <w:r w:rsidRPr="00E602DC">
        <w:rPr>
          <w:color w:val="000000" w:themeColor="text1"/>
          <w:sz w:val="22"/>
          <w:szCs w:val="22"/>
          <w:lang w:val="pt-BR"/>
        </w:rPr>
        <w:t>relevancy</w:t>
      </w:r>
      <w:proofErr w:type="spellEnd"/>
      <w:r w:rsidRPr="00E602DC">
        <w:rPr>
          <w:color w:val="000000" w:themeColor="text1"/>
          <w:sz w:val="22"/>
          <w:szCs w:val="22"/>
          <w:lang w:val="pt-BR"/>
        </w:rPr>
        <w:t>), que verifica se ela de fato responde à pergunta feita; precisão do contexto (</w:t>
      </w:r>
      <w:proofErr w:type="spellStart"/>
      <w:r w:rsidRPr="00E602DC">
        <w:rPr>
          <w:color w:val="000000" w:themeColor="text1"/>
          <w:sz w:val="22"/>
          <w:szCs w:val="22"/>
          <w:lang w:val="pt-BR"/>
        </w:rPr>
        <w:t>context</w:t>
      </w:r>
      <w:proofErr w:type="spellEnd"/>
      <w:r w:rsidRPr="00E602DC">
        <w:rPr>
          <w:color w:val="000000" w:themeColor="text1"/>
          <w:sz w:val="22"/>
          <w:szCs w:val="22"/>
          <w:lang w:val="pt-BR"/>
        </w:rPr>
        <w:t xml:space="preserve"> </w:t>
      </w:r>
      <w:proofErr w:type="spellStart"/>
      <w:r w:rsidRPr="00E602DC">
        <w:rPr>
          <w:color w:val="000000" w:themeColor="text1"/>
          <w:sz w:val="22"/>
          <w:szCs w:val="22"/>
          <w:lang w:val="pt-BR"/>
        </w:rPr>
        <w:t>precision</w:t>
      </w:r>
      <w:proofErr w:type="spellEnd"/>
      <w:r w:rsidRPr="00E602DC">
        <w:rPr>
          <w:color w:val="000000" w:themeColor="text1"/>
          <w:sz w:val="22"/>
          <w:szCs w:val="22"/>
          <w:lang w:val="pt-BR"/>
        </w:rPr>
        <w:t>), que verifica se os trechos utilizados eram necessários; e abrangência do contexto (</w:t>
      </w:r>
      <w:proofErr w:type="spellStart"/>
      <w:r w:rsidRPr="00E602DC">
        <w:rPr>
          <w:color w:val="000000" w:themeColor="text1"/>
          <w:sz w:val="22"/>
          <w:szCs w:val="22"/>
          <w:lang w:val="pt-BR"/>
        </w:rPr>
        <w:t>context</w:t>
      </w:r>
      <w:proofErr w:type="spellEnd"/>
      <w:r w:rsidRPr="00E602DC">
        <w:rPr>
          <w:color w:val="000000" w:themeColor="text1"/>
          <w:sz w:val="22"/>
          <w:szCs w:val="22"/>
          <w:lang w:val="pt-BR"/>
        </w:rPr>
        <w:t xml:space="preserve"> recall), que verifica se nenhum trecho importante deixou de ser recuperado. As métricas são calculadas por um LLM-juiz distinto (Mistral), evitando o viés de o modelo avaliar as próprias respostas.</w:t>
      </w:r>
    </w:p>
    <w:p w14:paraId="450F6009" w14:textId="77777777" w:rsidR="001B15F1" w:rsidRPr="00E602DC" w:rsidRDefault="001B15F1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</w:p>
    <w:p w14:paraId="79E40E03" w14:textId="77777777" w:rsidR="001B15F1" w:rsidRPr="00E602DC" w:rsidRDefault="00000000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  <w:r w:rsidRPr="00E602DC">
        <w:rPr>
          <w:color w:val="000000" w:themeColor="text1"/>
          <w:sz w:val="22"/>
          <w:szCs w:val="22"/>
          <w:lang w:val="pt-BR"/>
        </w:rPr>
        <w:t>A validação foi conduzida sobre uma plataforma fictícia de telemedicina, cujo esquema de banco de dados e termo de tratamento de dados foram construídos com inconsistências intencionais: CPF armazenado sem proteção adicional, registros de saúde mental sem hipótese legal explicitada e compartilhamento de dados com um parceiro de publicidade não declarado no termo. O uso de dados fictícios permite conhecer previamente os achados esperados e evita a exposição de dados pessoais reais durante a pesquisa.</w:t>
      </w:r>
    </w:p>
    <w:p w14:paraId="3CFA73A3" w14:textId="77777777" w:rsidR="001B15F1" w:rsidRPr="00E602DC" w:rsidRDefault="001B15F1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</w:p>
    <w:p w14:paraId="6F331971" w14:textId="77777777" w:rsidR="001B15F1" w:rsidRPr="00E602DC" w:rsidRDefault="00000000">
      <w:pPr>
        <w:widowControl w:val="0"/>
        <w:shd w:val="clear" w:color="auto" w:fill="D5DCE4"/>
        <w:jc w:val="center"/>
        <w:rPr>
          <w:color w:val="000000" w:themeColor="text1"/>
          <w:sz w:val="22"/>
          <w:szCs w:val="22"/>
          <w:lang w:val="pt-BR"/>
        </w:rPr>
      </w:pPr>
      <w:r w:rsidRPr="00E602DC">
        <w:rPr>
          <w:b/>
          <w:bCs/>
          <w:color w:val="000000" w:themeColor="text1"/>
          <w:lang w:val="pt-BR"/>
        </w:rPr>
        <w:t>Resultados e discussão</w:t>
      </w:r>
    </w:p>
    <w:p w14:paraId="1663ED1A" w14:textId="77777777" w:rsidR="001B15F1" w:rsidRPr="00E602DC" w:rsidRDefault="001B15F1">
      <w:pPr>
        <w:widowControl w:val="0"/>
        <w:jc w:val="both"/>
        <w:rPr>
          <w:b/>
          <w:bCs/>
          <w:color w:val="000000" w:themeColor="text1"/>
          <w:sz w:val="22"/>
          <w:szCs w:val="22"/>
          <w:lang w:val="pt-BR"/>
        </w:rPr>
      </w:pPr>
    </w:p>
    <w:p w14:paraId="128BCB66" w14:textId="77777777" w:rsidR="001B15F1" w:rsidRPr="00E602DC" w:rsidRDefault="00000000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  <w:r w:rsidRPr="00E602DC">
        <w:rPr>
          <w:color w:val="000000" w:themeColor="text1"/>
          <w:sz w:val="22"/>
          <w:szCs w:val="22"/>
          <w:lang w:val="pt-BR"/>
        </w:rPr>
        <w:t>A execução do pipeline sobre o estudo de caso produziu o relatório apresentado na Figura 1. O sistema classificou a aplicação como parcialmente conforme e organizou os achados em pontos corretos e pontos fora da lei, associando cada um deles a dispositivos específicos da LGPD e apresentando, ao final, os artigos aplicáveis com a respectiva justificativa.</w:t>
      </w:r>
    </w:p>
    <w:p w14:paraId="1806D070" w14:textId="77777777" w:rsidR="001B15F1" w:rsidRPr="00E602DC" w:rsidRDefault="001B15F1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</w:p>
    <w:p w14:paraId="3A593EB6" w14:textId="77777777" w:rsidR="00E602DC" w:rsidRDefault="00E602DC">
      <w:pPr>
        <w:widowControl w:val="0"/>
        <w:jc w:val="center"/>
        <w:rPr>
          <w:color w:val="000000" w:themeColor="text1"/>
          <w:sz w:val="20"/>
          <w:szCs w:val="22"/>
          <w:lang w:val="pt-BR"/>
        </w:rPr>
      </w:pPr>
      <w:r>
        <w:rPr>
          <w:color w:val="000000" w:themeColor="text1"/>
          <w:sz w:val="20"/>
          <w:szCs w:val="22"/>
          <w:lang w:val="pt-BR"/>
        </w:rPr>
        <w:br/>
      </w:r>
      <w:r>
        <w:rPr>
          <w:color w:val="000000" w:themeColor="text1"/>
          <w:sz w:val="20"/>
          <w:szCs w:val="22"/>
          <w:lang w:val="pt-BR"/>
        </w:rPr>
        <w:br/>
      </w:r>
      <w:r>
        <w:rPr>
          <w:color w:val="000000" w:themeColor="text1"/>
          <w:sz w:val="20"/>
          <w:szCs w:val="22"/>
          <w:lang w:val="pt-BR"/>
        </w:rPr>
        <w:br/>
      </w:r>
    </w:p>
    <w:p w14:paraId="602B5136" w14:textId="77777777" w:rsidR="00E602DC" w:rsidRDefault="00E602DC">
      <w:pPr>
        <w:rPr>
          <w:color w:val="000000" w:themeColor="text1"/>
          <w:sz w:val="20"/>
          <w:szCs w:val="22"/>
          <w:lang w:val="pt-BR"/>
        </w:rPr>
      </w:pPr>
      <w:r>
        <w:rPr>
          <w:color w:val="000000" w:themeColor="text1"/>
          <w:sz w:val="20"/>
          <w:szCs w:val="22"/>
          <w:lang w:val="pt-BR"/>
        </w:rPr>
        <w:br w:type="page"/>
      </w:r>
    </w:p>
    <w:p w14:paraId="58771DFF" w14:textId="0CC79853" w:rsidR="001B15F1" w:rsidRPr="00E602DC" w:rsidRDefault="00000000">
      <w:pPr>
        <w:widowControl w:val="0"/>
        <w:jc w:val="center"/>
        <w:rPr>
          <w:color w:val="000000" w:themeColor="text1"/>
          <w:sz w:val="22"/>
          <w:szCs w:val="22"/>
          <w:lang w:val="pt-BR"/>
        </w:rPr>
      </w:pPr>
      <w:r w:rsidRPr="00E602DC">
        <w:rPr>
          <w:color w:val="000000" w:themeColor="text1"/>
          <w:sz w:val="20"/>
          <w:szCs w:val="22"/>
          <w:lang w:val="pt-BR"/>
        </w:rPr>
        <w:lastRenderedPageBreak/>
        <w:t xml:space="preserve">Figura 1 – Resultado da análise de conformidade gerada pelo pipeline a partir do </w:t>
      </w:r>
      <w:proofErr w:type="spellStart"/>
      <w:r w:rsidRPr="00E602DC">
        <w:rPr>
          <w:color w:val="000000" w:themeColor="text1"/>
          <w:sz w:val="20"/>
          <w:szCs w:val="22"/>
          <w:lang w:val="pt-BR"/>
        </w:rPr>
        <w:t>schema</w:t>
      </w:r>
      <w:proofErr w:type="spellEnd"/>
      <w:r w:rsidRPr="00E602DC">
        <w:rPr>
          <w:color w:val="000000" w:themeColor="text1"/>
          <w:sz w:val="20"/>
          <w:szCs w:val="22"/>
          <w:lang w:val="pt-BR"/>
        </w:rPr>
        <w:t xml:space="preserve"> do banco de dados e do termo de tratamento de dados</w:t>
      </w:r>
    </w:p>
    <w:p w14:paraId="6CC69A26" w14:textId="77777777" w:rsidR="001B15F1" w:rsidRPr="00E602DC" w:rsidRDefault="00000000">
      <w:pPr>
        <w:widowControl w:val="0"/>
        <w:jc w:val="center"/>
        <w:rPr>
          <w:color w:val="000000" w:themeColor="text1"/>
          <w:sz w:val="22"/>
          <w:szCs w:val="22"/>
        </w:rPr>
      </w:pPr>
      <w:r w:rsidRPr="00E602DC">
        <w:rPr>
          <w:noProof/>
          <w:color w:val="000000" w:themeColor="text1"/>
          <w:sz w:val="22"/>
          <w:szCs w:val="22"/>
        </w:rPr>
        <w:drawing>
          <wp:inline distT="0" distB="0" distL="0" distR="0" wp14:anchorId="7401A14E" wp14:editId="3AE40951">
            <wp:extent cx="3276600" cy="17775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2085" cy="179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48DD5" w14:textId="77777777" w:rsidR="001B15F1" w:rsidRPr="00E602DC" w:rsidRDefault="00000000">
      <w:pPr>
        <w:widowControl w:val="0"/>
        <w:jc w:val="center"/>
        <w:rPr>
          <w:color w:val="000000" w:themeColor="text1"/>
          <w:sz w:val="22"/>
          <w:szCs w:val="22"/>
          <w:lang w:val="pt-BR"/>
        </w:rPr>
      </w:pPr>
      <w:r w:rsidRPr="00E602DC">
        <w:rPr>
          <w:color w:val="000000" w:themeColor="text1"/>
          <w:sz w:val="20"/>
          <w:szCs w:val="22"/>
          <w:lang w:val="pt-BR"/>
        </w:rPr>
        <w:t>Fonte: o próprio autor.</w:t>
      </w:r>
    </w:p>
    <w:p w14:paraId="2191D8C2" w14:textId="77777777" w:rsidR="001B15F1" w:rsidRPr="00E602DC" w:rsidRDefault="001B15F1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</w:p>
    <w:p w14:paraId="73353CAD" w14:textId="77777777" w:rsidR="001B15F1" w:rsidRPr="00E602DC" w:rsidRDefault="001B15F1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</w:p>
    <w:p w14:paraId="5C65AD82" w14:textId="77777777" w:rsidR="001B15F1" w:rsidRPr="00E602DC" w:rsidRDefault="00000000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  <w:r w:rsidRPr="00E602DC">
        <w:rPr>
          <w:color w:val="000000" w:themeColor="text1"/>
          <w:sz w:val="22"/>
          <w:szCs w:val="22"/>
          <w:lang w:val="pt-BR"/>
        </w:rPr>
        <w:t>Entre os pontos corretos, o sistema reconheceu o tratamento de dados de saúde com consentimento específico do titular (Art. 11, I), a manutenção de prontuários pelo prazo mínimo legal (Art. 12, II), a existência de mecanismos para atender às solicitações dos titulares (Art. 18), o registro de logs de auditoria (Art. 38) e a presença de medidas de segurança para dados sensíveis (Art. 32).</w:t>
      </w:r>
    </w:p>
    <w:p w14:paraId="43BE4D63" w14:textId="77777777" w:rsidR="001B15F1" w:rsidRPr="00E602DC" w:rsidRDefault="001B15F1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</w:p>
    <w:p w14:paraId="76AB9DC9" w14:textId="77777777" w:rsidR="001B15F1" w:rsidRPr="00E602DC" w:rsidRDefault="00000000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  <w:r w:rsidRPr="00E602DC">
        <w:rPr>
          <w:color w:val="000000" w:themeColor="text1"/>
          <w:sz w:val="22"/>
          <w:szCs w:val="22"/>
          <w:lang w:val="pt-BR"/>
        </w:rPr>
        <w:t xml:space="preserve">Entre os pontos em desacordo, foram identificadas exatamente as inconsistências inseridas de forma intencional no estudo de caso: o compartilhamento de dados pessoais para publicidade e ad </w:t>
      </w:r>
      <w:proofErr w:type="spellStart"/>
      <w:r w:rsidRPr="00E602DC">
        <w:rPr>
          <w:color w:val="000000" w:themeColor="text1"/>
          <w:sz w:val="22"/>
          <w:szCs w:val="22"/>
          <w:lang w:val="pt-BR"/>
        </w:rPr>
        <w:t>targeting</w:t>
      </w:r>
      <w:proofErr w:type="spellEnd"/>
      <w:r w:rsidRPr="00E602DC">
        <w:rPr>
          <w:color w:val="000000" w:themeColor="text1"/>
          <w:sz w:val="22"/>
          <w:szCs w:val="22"/>
          <w:lang w:val="pt-BR"/>
        </w:rPr>
        <w:t xml:space="preserve"> sem consentimento específico e sem registro das finalidades do tratamento (Art. 11, I e Art. 6º, II); a ausência de menção à eliminação de dados no termo de compromisso (Art. 17, I, II, III e IV); e a falta de especificação dos termos de confidencialidade nos registros de compartilhamento com terceiros (Art. 21, IV). Para cada achado, o relatório apresentou também recomendações de correção, como a adoção de cláusulas de confidencialidade padronizadas em contratos de processamento de dados e a implementação de consentimento explícito por finalidade.</w:t>
      </w:r>
    </w:p>
    <w:p w14:paraId="30D12B85" w14:textId="77777777" w:rsidR="001B15F1" w:rsidRPr="00E602DC" w:rsidRDefault="001B15F1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</w:p>
    <w:p w14:paraId="637F5EC3" w14:textId="77777777" w:rsidR="001B15F1" w:rsidRPr="00E602DC" w:rsidRDefault="00000000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  <w:r w:rsidRPr="00E602DC">
        <w:rPr>
          <w:color w:val="000000" w:themeColor="text1"/>
          <w:sz w:val="22"/>
          <w:szCs w:val="22"/>
          <w:lang w:val="pt-BR"/>
        </w:rPr>
        <w:t>Verificada a pertinência dos achados, passou-se à avaliação automática das respostas do chat de consulta. A Figura 2 detalha uma execução dessa avaliação, em que cada pergunta do conjunto de referência é respondida pelo pipeline e pontuada individualmente pelas quatro métricas RAGAS.</w:t>
      </w:r>
    </w:p>
    <w:p w14:paraId="286349B0" w14:textId="77777777" w:rsidR="001B15F1" w:rsidRPr="00E602DC" w:rsidRDefault="001B15F1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</w:p>
    <w:p w14:paraId="7519C3CF" w14:textId="77777777" w:rsidR="00E602DC" w:rsidRDefault="00E602DC" w:rsidP="00E602DC">
      <w:pPr>
        <w:rPr>
          <w:color w:val="000000" w:themeColor="text1"/>
          <w:sz w:val="20"/>
          <w:szCs w:val="22"/>
          <w:lang w:val="pt-BR"/>
        </w:rPr>
      </w:pPr>
    </w:p>
    <w:p w14:paraId="770621C8" w14:textId="77777777" w:rsidR="00E602DC" w:rsidRDefault="00E602DC" w:rsidP="00E602DC">
      <w:pPr>
        <w:rPr>
          <w:color w:val="000000" w:themeColor="text1"/>
          <w:sz w:val="20"/>
          <w:szCs w:val="22"/>
          <w:lang w:val="pt-BR"/>
        </w:rPr>
      </w:pPr>
    </w:p>
    <w:p w14:paraId="040EBF88" w14:textId="7879E2FE" w:rsidR="001B15F1" w:rsidRPr="00E602DC" w:rsidRDefault="00000000" w:rsidP="00E602DC">
      <w:pPr>
        <w:rPr>
          <w:color w:val="000000" w:themeColor="text1"/>
          <w:sz w:val="22"/>
          <w:szCs w:val="22"/>
          <w:lang w:val="pt-BR"/>
        </w:rPr>
      </w:pPr>
      <w:r w:rsidRPr="00E602DC">
        <w:rPr>
          <w:color w:val="000000" w:themeColor="text1"/>
          <w:sz w:val="20"/>
          <w:szCs w:val="22"/>
          <w:lang w:val="pt-BR"/>
        </w:rPr>
        <w:t>Figura 2 – Detalhamento da execução da avaliação RAGAS, com as pontuações por pergunta do conjunto de referência</w:t>
      </w:r>
    </w:p>
    <w:p w14:paraId="44D668AC" w14:textId="77777777" w:rsidR="001B15F1" w:rsidRPr="00E602DC" w:rsidRDefault="00000000">
      <w:pPr>
        <w:widowControl w:val="0"/>
        <w:jc w:val="center"/>
        <w:rPr>
          <w:color w:val="000000" w:themeColor="text1"/>
          <w:sz w:val="22"/>
          <w:szCs w:val="22"/>
        </w:rPr>
      </w:pPr>
      <w:r w:rsidRPr="00E602DC">
        <w:rPr>
          <w:noProof/>
          <w:color w:val="000000" w:themeColor="text1"/>
          <w:sz w:val="22"/>
          <w:szCs w:val="22"/>
        </w:rPr>
        <w:drawing>
          <wp:inline distT="0" distB="0" distL="0" distR="0" wp14:anchorId="016166B8" wp14:editId="5D14CC29">
            <wp:extent cx="3557150" cy="2062887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8347" cy="207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6506" w14:textId="77777777" w:rsidR="001B15F1" w:rsidRPr="00E602DC" w:rsidRDefault="00000000">
      <w:pPr>
        <w:widowControl w:val="0"/>
        <w:jc w:val="center"/>
        <w:rPr>
          <w:color w:val="000000" w:themeColor="text1"/>
          <w:sz w:val="22"/>
          <w:szCs w:val="22"/>
          <w:lang w:val="pt-BR"/>
        </w:rPr>
      </w:pPr>
      <w:r w:rsidRPr="00E602DC">
        <w:rPr>
          <w:color w:val="000000" w:themeColor="text1"/>
          <w:sz w:val="20"/>
          <w:szCs w:val="22"/>
          <w:lang w:val="pt-BR"/>
        </w:rPr>
        <w:t>Fonte: o próprio autor.</w:t>
      </w:r>
    </w:p>
    <w:p w14:paraId="22828F84" w14:textId="77777777" w:rsidR="001B15F1" w:rsidRPr="00E602DC" w:rsidRDefault="001B15F1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</w:p>
    <w:p w14:paraId="05C88A02" w14:textId="77777777" w:rsidR="001B15F1" w:rsidRPr="00E602DC" w:rsidRDefault="001B15F1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</w:p>
    <w:p w14:paraId="7963140A" w14:textId="77777777" w:rsidR="001B15F1" w:rsidRPr="00E602DC" w:rsidRDefault="00000000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  <w:r w:rsidRPr="00E602DC">
        <w:rPr>
          <w:color w:val="000000" w:themeColor="text1"/>
          <w:sz w:val="22"/>
          <w:szCs w:val="22"/>
          <w:lang w:val="pt-BR"/>
        </w:rPr>
        <w:t xml:space="preserve">Na execução mais recente da avaliação (LLM-juiz Mistral, </w:t>
      </w:r>
      <w:proofErr w:type="spellStart"/>
      <w:r w:rsidRPr="00E602DC">
        <w:rPr>
          <w:color w:val="000000" w:themeColor="text1"/>
          <w:sz w:val="22"/>
          <w:szCs w:val="22"/>
          <w:lang w:val="pt-BR"/>
        </w:rPr>
        <w:t>embeddings</w:t>
      </w:r>
      <w:proofErr w:type="spellEnd"/>
      <w:r w:rsidRPr="00E602DC">
        <w:rPr>
          <w:color w:val="000000" w:themeColor="text1"/>
          <w:sz w:val="22"/>
          <w:szCs w:val="22"/>
          <w:lang w:val="pt-BR"/>
        </w:rPr>
        <w:t xml:space="preserve"> BGE-M3, relatório publicado), as médias das quatro métricas foram as apresentadas na Figura 3: fidelidade = 0,92; relevância da resposta = 0,71; precisão do contexto = 0,93; e abrangência do contexto = 0,79.</w:t>
      </w:r>
    </w:p>
    <w:p w14:paraId="6904AF01" w14:textId="77777777" w:rsidR="001B15F1" w:rsidRPr="00E602DC" w:rsidRDefault="001B15F1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</w:p>
    <w:p w14:paraId="73BA9E70" w14:textId="77777777" w:rsidR="001B15F1" w:rsidRPr="00E602DC" w:rsidRDefault="00000000">
      <w:pPr>
        <w:widowControl w:val="0"/>
        <w:jc w:val="center"/>
        <w:rPr>
          <w:color w:val="000000" w:themeColor="text1"/>
          <w:sz w:val="22"/>
          <w:szCs w:val="22"/>
          <w:lang w:val="pt-BR"/>
        </w:rPr>
      </w:pPr>
      <w:r w:rsidRPr="00E602DC">
        <w:rPr>
          <w:color w:val="000000" w:themeColor="text1"/>
          <w:sz w:val="20"/>
          <w:szCs w:val="22"/>
          <w:lang w:val="pt-BR"/>
        </w:rPr>
        <w:t>Figura 3 – Médias das métricas RAGAS obtidas na execução mais recente da avaliação</w:t>
      </w:r>
    </w:p>
    <w:p w14:paraId="595D302A" w14:textId="77777777" w:rsidR="001B15F1" w:rsidRPr="00E602DC" w:rsidRDefault="00000000">
      <w:pPr>
        <w:widowControl w:val="0"/>
        <w:jc w:val="center"/>
        <w:rPr>
          <w:color w:val="000000" w:themeColor="text1"/>
          <w:sz w:val="22"/>
          <w:szCs w:val="22"/>
        </w:rPr>
      </w:pPr>
      <w:r w:rsidRPr="00E602DC">
        <w:rPr>
          <w:noProof/>
          <w:color w:val="000000" w:themeColor="text1"/>
          <w:sz w:val="22"/>
          <w:szCs w:val="22"/>
        </w:rPr>
        <w:drawing>
          <wp:inline distT="0" distB="0" distL="0" distR="0" wp14:anchorId="0B9D9730" wp14:editId="16DE8239">
            <wp:extent cx="3540125" cy="497434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0652" cy="5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904D" w14:textId="77777777" w:rsidR="001B15F1" w:rsidRPr="00E602DC" w:rsidRDefault="00000000">
      <w:pPr>
        <w:widowControl w:val="0"/>
        <w:jc w:val="center"/>
        <w:rPr>
          <w:color w:val="000000" w:themeColor="text1"/>
          <w:sz w:val="22"/>
          <w:szCs w:val="22"/>
          <w:lang w:val="pt-BR"/>
        </w:rPr>
      </w:pPr>
      <w:r w:rsidRPr="00E602DC">
        <w:rPr>
          <w:color w:val="000000" w:themeColor="text1"/>
          <w:sz w:val="20"/>
          <w:szCs w:val="22"/>
          <w:lang w:val="pt-BR"/>
        </w:rPr>
        <w:t>Fonte: o próprio autor.</w:t>
      </w:r>
    </w:p>
    <w:p w14:paraId="0E65BA09" w14:textId="77777777" w:rsidR="001B15F1" w:rsidRPr="00E602DC" w:rsidRDefault="001B15F1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</w:p>
    <w:p w14:paraId="6F9E997F" w14:textId="77777777" w:rsidR="001B15F1" w:rsidRPr="00E602DC" w:rsidRDefault="001B15F1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</w:p>
    <w:p w14:paraId="3273A01D" w14:textId="346535BD" w:rsidR="001B15F1" w:rsidRPr="00E602DC" w:rsidRDefault="00000000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  <w:r w:rsidRPr="00E602DC">
        <w:rPr>
          <w:color w:val="000000" w:themeColor="text1"/>
          <w:sz w:val="22"/>
          <w:szCs w:val="22"/>
          <w:lang w:val="pt-BR"/>
        </w:rPr>
        <w:t>Os valores elevados de fidelidade (0,92) e de precisão do contexto (0,93) indicam que as respostas permaneceram fortemente fundamentadas nos trechos recuperados e que esses trechos eram, em sua maioria, efetivamente necessários</w:t>
      </w:r>
      <w:r w:rsidR="00E602DC">
        <w:rPr>
          <w:color w:val="000000" w:themeColor="text1"/>
          <w:sz w:val="22"/>
          <w:szCs w:val="22"/>
          <w:lang w:val="pt-BR"/>
        </w:rPr>
        <w:t>,</w:t>
      </w:r>
      <w:r w:rsidRPr="00E602DC">
        <w:rPr>
          <w:color w:val="000000" w:themeColor="text1"/>
          <w:sz w:val="22"/>
          <w:szCs w:val="22"/>
          <w:lang w:val="pt-BR"/>
        </w:rPr>
        <w:t xml:space="preserve"> comportamento desejável em um domínio jurídico, no qual afirmações não fundamentadas são particularmente danosas. A relevância da resposta (0,71) foi a métrica mais baixa: a inspeção das respostas individuais mostra que o modelo tende a acrescentar recomendações técnicas extensas mesmo a perguntas objetivas, o que dilui a resposta em relação ao que foi perguntado. Já a abrangência do contexto (0,79) indica que a maior parte dos trechos necessários foi recuperada, embora ainda ocorram perdas atribuíveis à granularidade com que o relatório é dividido em trechos.</w:t>
      </w:r>
    </w:p>
    <w:p w14:paraId="18D23F7F" w14:textId="77777777" w:rsidR="001B15F1" w:rsidRPr="00E602DC" w:rsidRDefault="001B15F1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</w:p>
    <w:p w14:paraId="54DA9F23" w14:textId="77777777" w:rsidR="001B15F1" w:rsidRPr="00E602DC" w:rsidRDefault="00000000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  <w:r w:rsidRPr="00E602DC">
        <w:rPr>
          <w:color w:val="000000" w:themeColor="text1"/>
          <w:sz w:val="22"/>
          <w:szCs w:val="22"/>
          <w:lang w:val="pt-BR"/>
        </w:rPr>
        <w:t xml:space="preserve">Os resultados devem ser lidos com algumas ressalvas. A avaliação foi conduzida sobre um único estudo de caso, com dados fictícios; o conjunto de referência é gerado </w:t>
      </w:r>
      <w:r w:rsidRPr="00E602DC">
        <w:rPr>
          <w:color w:val="000000" w:themeColor="text1"/>
          <w:sz w:val="22"/>
          <w:szCs w:val="22"/>
          <w:lang w:val="pt-BR"/>
        </w:rPr>
        <w:lastRenderedPageBreak/>
        <w:t>pelo próprio sistema a partir do relatório publicado, o que mede a consistência interna do pipeline, e não a correção jurídica dos achados frente a um parecer humano; e as métricas são calculadas por um LLM-juiz, sujeito às suas próprias limitações. Por esse motivo, a plataforma se posiciona como instrumento de apoio à auditoria de conformidade, e não como substituta da análise jurídica especializada.</w:t>
      </w:r>
    </w:p>
    <w:p w14:paraId="6217DDCD" w14:textId="77777777" w:rsidR="001B15F1" w:rsidRPr="00E602DC" w:rsidRDefault="001B15F1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</w:p>
    <w:p w14:paraId="48A4E461" w14:textId="77777777" w:rsidR="001B15F1" w:rsidRPr="00E602DC" w:rsidRDefault="00000000">
      <w:pPr>
        <w:widowControl w:val="0"/>
        <w:shd w:val="clear" w:color="auto" w:fill="D5DCE4"/>
        <w:jc w:val="center"/>
        <w:rPr>
          <w:color w:val="000000" w:themeColor="text1"/>
          <w:sz w:val="22"/>
          <w:szCs w:val="22"/>
          <w:lang w:val="pt-BR"/>
        </w:rPr>
      </w:pPr>
      <w:r w:rsidRPr="00E602DC">
        <w:rPr>
          <w:b/>
          <w:bCs/>
          <w:color w:val="000000" w:themeColor="text1"/>
          <w:lang w:val="pt-BR"/>
        </w:rPr>
        <w:t>Conclusões</w:t>
      </w:r>
    </w:p>
    <w:p w14:paraId="78DA2E15" w14:textId="77777777" w:rsidR="001B15F1" w:rsidRPr="00E602DC" w:rsidRDefault="001B15F1">
      <w:pPr>
        <w:widowControl w:val="0"/>
        <w:jc w:val="both"/>
        <w:rPr>
          <w:b/>
          <w:bCs/>
          <w:color w:val="000000" w:themeColor="text1"/>
          <w:sz w:val="22"/>
          <w:szCs w:val="22"/>
          <w:lang w:val="pt-BR"/>
        </w:rPr>
      </w:pPr>
    </w:p>
    <w:p w14:paraId="6526DB74" w14:textId="77777777" w:rsidR="001B15F1" w:rsidRPr="00E602DC" w:rsidRDefault="00000000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  <w:r w:rsidRPr="00E602DC">
        <w:rPr>
          <w:color w:val="000000" w:themeColor="text1"/>
          <w:sz w:val="22"/>
          <w:szCs w:val="22"/>
          <w:lang w:val="pt-BR"/>
        </w:rPr>
        <w:t xml:space="preserve">O trabalho demonstrou a viabilidade de empregar Recuperação Aumentada de Geração e modelos de linguagem executados localmente para automatizar a comparação entre a estrutura de um sistema, o termo de tratamento de dados declarado pela organização e o texto da LGPD. A plataforma </w:t>
      </w:r>
      <w:proofErr w:type="spellStart"/>
      <w:r w:rsidRPr="00E602DC">
        <w:rPr>
          <w:color w:val="000000" w:themeColor="text1"/>
          <w:sz w:val="22"/>
          <w:szCs w:val="22"/>
          <w:lang w:val="pt-BR"/>
        </w:rPr>
        <w:t>LexRAG</w:t>
      </w:r>
      <w:proofErr w:type="spellEnd"/>
      <w:r w:rsidRPr="00E602DC">
        <w:rPr>
          <w:color w:val="000000" w:themeColor="text1"/>
          <w:sz w:val="22"/>
          <w:szCs w:val="22"/>
          <w:lang w:val="pt-BR"/>
        </w:rPr>
        <w:t xml:space="preserve"> gerou relatórios de conformidade estruturados, identificou corretamente as inconsistências inseridas no estudo de caso e as associou aos dispositivos legais pertinentes, reduzindo o esforço manual de comparação artigo a artigo.</w:t>
      </w:r>
    </w:p>
    <w:p w14:paraId="1EBDECD9" w14:textId="77777777" w:rsidR="001B15F1" w:rsidRPr="00E602DC" w:rsidRDefault="001B15F1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</w:p>
    <w:p w14:paraId="77341666" w14:textId="77777777" w:rsidR="001B15F1" w:rsidRPr="00E602DC" w:rsidRDefault="00000000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  <w:r w:rsidRPr="00E602DC">
        <w:rPr>
          <w:color w:val="000000" w:themeColor="text1"/>
          <w:sz w:val="22"/>
          <w:szCs w:val="22"/>
          <w:lang w:val="pt-BR"/>
        </w:rPr>
        <w:t>A avaliação automática via RAGAS mostrou-se um mecanismo de controle de qualidade reprodutível, capaz de acompanhar a evolução do pipeline sem exigir revisão humana a cada alteração. Os índices de fidelidade (0,92) e de precisão do contexto (0,93) confirmaram que as respostas se mantêm ancoradas no relatório publicado, enquanto a relevância mais baixa (0,71) apontou um ponto concreto de melhoria na formulação das respostas.</w:t>
      </w:r>
    </w:p>
    <w:p w14:paraId="244C3188" w14:textId="77777777" w:rsidR="001B15F1" w:rsidRPr="00E602DC" w:rsidRDefault="001B15F1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</w:p>
    <w:p w14:paraId="1A14E63B" w14:textId="77777777" w:rsidR="001B15F1" w:rsidRPr="00E602DC" w:rsidRDefault="00000000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  <w:r w:rsidRPr="00E602DC">
        <w:rPr>
          <w:color w:val="000000" w:themeColor="text1"/>
          <w:sz w:val="22"/>
          <w:szCs w:val="22"/>
          <w:lang w:val="pt-BR"/>
        </w:rPr>
        <w:t>Como trabalhos futuros, pretende-se refinar a estratégia de divisão do relatório em trechos, ampliar a cobertura para outras normas correlatas, avaliar a plataforma em casos reais sob acordo de confidencialidade, comparar o desempenho de diferentes modelos de linguagem e incorporar uma etapa de validação humana antes da publicação de relatórios críticos.</w:t>
      </w:r>
    </w:p>
    <w:p w14:paraId="2ED12546" w14:textId="77777777" w:rsidR="001B15F1" w:rsidRPr="00E602DC" w:rsidRDefault="001B15F1">
      <w:pPr>
        <w:widowControl w:val="0"/>
        <w:jc w:val="both"/>
        <w:rPr>
          <w:color w:val="000000" w:themeColor="text1"/>
          <w:sz w:val="22"/>
          <w:szCs w:val="22"/>
          <w:lang w:val="pt-BR"/>
        </w:rPr>
      </w:pPr>
    </w:p>
    <w:p w14:paraId="288FBEFB" w14:textId="77777777" w:rsidR="001B15F1" w:rsidRPr="00E602DC" w:rsidRDefault="00000000">
      <w:pPr>
        <w:widowControl w:val="0"/>
        <w:shd w:val="clear" w:color="auto" w:fill="D5DCE4"/>
        <w:jc w:val="center"/>
        <w:rPr>
          <w:color w:val="000000" w:themeColor="text1"/>
          <w:sz w:val="22"/>
          <w:szCs w:val="22"/>
          <w:lang w:val="pt-BR"/>
        </w:rPr>
      </w:pPr>
      <w:r w:rsidRPr="00E602DC">
        <w:rPr>
          <w:b/>
          <w:bCs/>
          <w:color w:val="000000" w:themeColor="text1"/>
          <w:lang w:val="pt-BR"/>
        </w:rPr>
        <w:t xml:space="preserve">Agradecimentos </w:t>
      </w:r>
    </w:p>
    <w:p w14:paraId="2D9E60C7" w14:textId="77777777" w:rsidR="001B15F1" w:rsidRPr="00E602DC" w:rsidRDefault="001B15F1">
      <w:pPr>
        <w:widowControl w:val="0"/>
        <w:jc w:val="both"/>
        <w:rPr>
          <w:b/>
          <w:bCs/>
          <w:color w:val="000000" w:themeColor="text1"/>
          <w:sz w:val="22"/>
          <w:szCs w:val="22"/>
          <w:lang w:val="pt-BR"/>
        </w:rPr>
      </w:pPr>
    </w:p>
    <w:p w14:paraId="2FF3719C" w14:textId="77777777" w:rsidR="001B15F1" w:rsidRPr="00E602DC" w:rsidRDefault="00000000">
      <w:pPr>
        <w:widowControl w:val="0"/>
        <w:jc w:val="both"/>
        <w:rPr>
          <w:b/>
          <w:bCs/>
          <w:color w:val="000000" w:themeColor="text1"/>
          <w:sz w:val="22"/>
          <w:szCs w:val="22"/>
          <w:lang w:val="pt-BR"/>
        </w:rPr>
      </w:pPr>
      <w:r w:rsidRPr="00E602DC">
        <w:rPr>
          <w:color w:val="000000" w:themeColor="text1"/>
          <w:sz w:val="22"/>
          <w:szCs w:val="22"/>
          <w:lang w:val="pt-BR"/>
        </w:rPr>
        <w:t>O autor agradece à Universidade Federal de Itajubá (UNIFEI) pelo apoio institucional e pela oportunidade de desenvolvimento acadêmico proporcionada pelo Programa de Iniciação Científica. Agradece, ainda, à orientadora Bárbara Pimenta Caetano pela orientação dedicada, pela disponibilidade e pelas contribuições que tornaram possível a realização deste trabalho.</w:t>
      </w:r>
    </w:p>
    <w:p w14:paraId="13E8A07D" w14:textId="77777777" w:rsidR="001B15F1" w:rsidRDefault="001B15F1">
      <w:pPr>
        <w:widowControl w:val="0"/>
        <w:jc w:val="both"/>
        <w:rPr>
          <w:b/>
          <w:bCs/>
          <w:color w:val="000000" w:themeColor="text1"/>
          <w:sz w:val="22"/>
          <w:szCs w:val="22"/>
          <w:lang w:val="pt-BR"/>
        </w:rPr>
      </w:pPr>
    </w:p>
    <w:p w14:paraId="3E824D92" w14:textId="77777777" w:rsidR="00E602DC" w:rsidRDefault="00E602DC">
      <w:pPr>
        <w:widowControl w:val="0"/>
        <w:jc w:val="both"/>
        <w:rPr>
          <w:b/>
          <w:bCs/>
          <w:color w:val="000000" w:themeColor="text1"/>
          <w:sz w:val="22"/>
          <w:szCs w:val="22"/>
          <w:lang w:val="pt-BR"/>
        </w:rPr>
      </w:pPr>
    </w:p>
    <w:p w14:paraId="5667A93D" w14:textId="77777777" w:rsidR="00E602DC" w:rsidRDefault="00E602DC">
      <w:pPr>
        <w:widowControl w:val="0"/>
        <w:jc w:val="both"/>
        <w:rPr>
          <w:b/>
          <w:bCs/>
          <w:color w:val="000000" w:themeColor="text1"/>
          <w:sz w:val="22"/>
          <w:szCs w:val="22"/>
          <w:lang w:val="pt-BR"/>
        </w:rPr>
      </w:pPr>
    </w:p>
    <w:p w14:paraId="2F6D6011" w14:textId="77777777" w:rsidR="00E602DC" w:rsidRDefault="00E602DC">
      <w:pPr>
        <w:widowControl w:val="0"/>
        <w:jc w:val="both"/>
        <w:rPr>
          <w:b/>
          <w:bCs/>
          <w:color w:val="000000" w:themeColor="text1"/>
          <w:sz w:val="22"/>
          <w:szCs w:val="22"/>
          <w:lang w:val="pt-BR"/>
        </w:rPr>
      </w:pPr>
    </w:p>
    <w:p w14:paraId="51458A45" w14:textId="77777777" w:rsidR="00E602DC" w:rsidRPr="00E602DC" w:rsidRDefault="00E602DC">
      <w:pPr>
        <w:widowControl w:val="0"/>
        <w:jc w:val="both"/>
        <w:rPr>
          <w:b/>
          <w:bCs/>
          <w:color w:val="000000" w:themeColor="text1"/>
          <w:sz w:val="22"/>
          <w:szCs w:val="22"/>
          <w:u w:val="single"/>
          <w:lang w:val="pt-BR"/>
        </w:rPr>
      </w:pPr>
    </w:p>
    <w:p w14:paraId="5E6193D4" w14:textId="77777777" w:rsidR="001B15F1" w:rsidRPr="00E602DC" w:rsidRDefault="001B15F1">
      <w:pPr>
        <w:widowControl w:val="0"/>
        <w:jc w:val="both"/>
        <w:rPr>
          <w:b/>
          <w:bCs/>
          <w:color w:val="000000" w:themeColor="text1"/>
          <w:sz w:val="22"/>
          <w:szCs w:val="22"/>
          <w:lang w:val="pt-BR"/>
        </w:rPr>
      </w:pPr>
    </w:p>
    <w:p w14:paraId="60712399" w14:textId="77777777" w:rsidR="001B15F1" w:rsidRPr="00E602DC" w:rsidRDefault="00000000">
      <w:pPr>
        <w:widowControl w:val="0"/>
        <w:shd w:val="clear" w:color="auto" w:fill="D5DCE4"/>
        <w:jc w:val="center"/>
        <w:rPr>
          <w:color w:val="000000" w:themeColor="text1"/>
          <w:sz w:val="22"/>
          <w:szCs w:val="22"/>
          <w:lang w:val="pt-BR"/>
        </w:rPr>
      </w:pPr>
      <w:r w:rsidRPr="00E602DC">
        <w:rPr>
          <w:b/>
          <w:bCs/>
          <w:color w:val="000000" w:themeColor="text1"/>
          <w:lang w:val="pt-BR"/>
        </w:rPr>
        <w:t>Referências</w:t>
      </w:r>
    </w:p>
    <w:p w14:paraId="6F6FA0E3" w14:textId="77777777" w:rsidR="001B15F1" w:rsidRPr="00E602DC" w:rsidRDefault="001B15F1">
      <w:pPr>
        <w:widowControl w:val="0"/>
        <w:jc w:val="both"/>
        <w:rPr>
          <w:b/>
          <w:bCs/>
          <w:color w:val="000000" w:themeColor="text1"/>
          <w:sz w:val="22"/>
          <w:szCs w:val="22"/>
          <w:lang w:val="pt-BR"/>
        </w:rPr>
      </w:pPr>
    </w:p>
    <w:p w14:paraId="287C0B6B" w14:textId="77777777" w:rsidR="001B15F1" w:rsidRPr="00E602DC" w:rsidRDefault="00000000">
      <w:pPr>
        <w:widowControl w:val="0"/>
        <w:jc w:val="both"/>
        <w:rPr>
          <w:b/>
          <w:bCs/>
          <w:color w:val="000000" w:themeColor="text1"/>
          <w:sz w:val="22"/>
          <w:szCs w:val="22"/>
          <w:lang w:val="pt-BR"/>
        </w:rPr>
      </w:pPr>
      <w:r w:rsidRPr="00E602DC">
        <w:rPr>
          <w:color w:val="000000" w:themeColor="text1"/>
          <w:sz w:val="20"/>
          <w:szCs w:val="20"/>
          <w:lang w:val="pt-BR"/>
        </w:rPr>
        <w:t>BRASIL. Lei nº 13.709, de 14 de agosto de 2018. Lei Geral de Proteção de Dados Pessoais (LGPD). Brasília, DF: Presidência da República, 2018. Disponível em: http://www.planalto.gov.br/ccivil_03/_ato2015-2018/2018/lei/l13709compilado.htm. Acesso em: 28 ago. 2026.</w:t>
      </w:r>
    </w:p>
    <w:p w14:paraId="39CED187" w14:textId="77777777" w:rsidR="001B15F1" w:rsidRPr="00E602DC" w:rsidRDefault="001B15F1">
      <w:pPr>
        <w:widowControl w:val="0"/>
        <w:jc w:val="both"/>
        <w:rPr>
          <w:b/>
          <w:bCs/>
          <w:color w:val="000000" w:themeColor="text1"/>
          <w:sz w:val="22"/>
          <w:szCs w:val="22"/>
          <w:lang w:val="pt-BR"/>
        </w:rPr>
      </w:pPr>
    </w:p>
    <w:p w14:paraId="4E48F0B9" w14:textId="77777777" w:rsidR="001B15F1" w:rsidRPr="00E602DC" w:rsidRDefault="00000000">
      <w:pPr>
        <w:widowControl w:val="0"/>
        <w:jc w:val="both"/>
        <w:rPr>
          <w:b/>
          <w:bCs/>
          <w:color w:val="000000" w:themeColor="text1"/>
          <w:sz w:val="22"/>
          <w:szCs w:val="22"/>
          <w:lang w:val="pt-BR"/>
        </w:rPr>
      </w:pPr>
      <w:r w:rsidRPr="00E602DC">
        <w:rPr>
          <w:color w:val="000000" w:themeColor="text1"/>
          <w:sz w:val="20"/>
          <w:szCs w:val="20"/>
        </w:rPr>
        <w:t xml:space="preserve">ES, Shahul et al. RAGAS: automated evaluation of retrieval augmented generation. </w:t>
      </w:r>
      <w:proofErr w:type="spellStart"/>
      <w:r w:rsidRPr="00E602DC">
        <w:rPr>
          <w:color w:val="000000" w:themeColor="text1"/>
          <w:sz w:val="20"/>
          <w:szCs w:val="20"/>
        </w:rPr>
        <w:t>arXiv</w:t>
      </w:r>
      <w:proofErr w:type="spellEnd"/>
      <w:r w:rsidRPr="00E602DC">
        <w:rPr>
          <w:color w:val="000000" w:themeColor="text1"/>
          <w:sz w:val="20"/>
          <w:szCs w:val="20"/>
        </w:rPr>
        <w:t xml:space="preserve"> preprint arXiv:2309.15217, 2023. </w:t>
      </w:r>
      <w:r w:rsidRPr="00E602DC">
        <w:rPr>
          <w:color w:val="000000" w:themeColor="text1"/>
          <w:sz w:val="20"/>
          <w:szCs w:val="20"/>
          <w:lang w:val="pt-BR"/>
        </w:rPr>
        <w:t>Disponível em: https://arxiv.org/abs/2309.15217. Acesso em: 28 ago. 2026.</w:t>
      </w:r>
    </w:p>
    <w:p w14:paraId="5F47CA63" w14:textId="77777777" w:rsidR="001B15F1" w:rsidRPr="00E602DC" w:rsidRDefault="001B15F1">
      <w:pPr>
        <w:widowControl w:val="0"/>
        <w:jc w:val="both"/>
        <w:rPr>
          <w:b/>
          <w:bCs/>
          <w:color w:val="000000" w:themeColor="text1"/>
          <w:sz w:val="22"/>
          <w:szCs w:val="22"/>
          <w:lang w:val="pt-BR"/>
        </w:rPr>
      </w:pPr>
    </w:p>
    <w:p w14:paraId="602C285B" w14:textId="77777777" w:rsidR="001B15F1" w:rsidRPr="00E602DC" w:rsidRDefault="00000000">
      <w:pPr>
        <w:widowControl w:val="0"/>
        <w:jc w:val="both"/>
        <w:rPr>
          <w:b/>
          <w:bCs/>
          <w:color w:val="000000" w:themeColor="text1"/>
          <w:sz w:val="22"/>
          <w:szCs w:val="22"/>
          <w:lang w:val="pt-BR"/>
        </w:rPr>
      </w:pPr>
      <w:r w:rsidRPr="00E602DC">
        <w:rPr>
          <w:color w:val="000000" w:themeColor="text1"/>
          <w:sz w:val="20"/>
          <w:szCs w:val="20"/>
          <w:lang w:val="pt-BR"/>
        </w:rPr>
        <w:t xml:space="preserve">LEWIS, Patrick et al. </w:t>
      </w:r>
      <w:r w:rsidRPr="00E602DC">
        <w:rPr>
          <w:color w:val="000000" w:themeColor="text1"/>
          <w:sz w:val="20"/>
          <w:szCs w:val="20"/>
        </w:rPr>
        <w:t xml:space="preserve">Retrieval-augmented generation for knowledge-intensive NLP tasks. In: ADVANCES IN NEURAL INFORMATION PROCESSING SYSTEMS, 33., 2020. Anais [...]. [S. l.]: </w:t>
      </w:r>
      <w:proofErr w:type="spellStart"/>
      <w:r w:rsidRPr="00E602DC">
        <w:rPr>
          <w:color w:val="000000" w:themeColor="text1"/>
          <w:sz w:val="20"/>
          <w:szCs w:val="20"/>
        </w:rPr>
        <w:t>NeurIPS</w:t>
      </w:r>
      <w:proofErr w:type="spellEnd"/>
      <w:r w:rsidRPr="00E602DC">
        <w:rPr>
          <w:color w:val="000000" w:themeColor="text1"/>
          <w:sz w:val="20"/>
          <w:szCs w:val="20"/>
        </w:rPr>
        <w:t xml:space="preserve">, 2020. p. 9459-9474. </w:t>
      </w:r>
      <w:r w:rsidRPr="00E602DC">
        <w:rPr>
          <w:color w:val="000000" w:themeColor="text1"/>
          <w:sz w:val="20"/>
          <w:szCs w:val="20"/>
          <w:lang w:val="pt-BR"/>
        </w:rPr>
        <w:t>Disponível em: https://arxiv.org/abs/2005.11401. Acesso em: 28 ago. 2026.</w:t>
      </w:r>
    </w:p>
    <w:p w14:paraId="19151695" w14:textId="77777777" w:rsidR="001B15F1" w:rsidRPr="00E602DC" w:rsidRDefault="001B15F1">
      <w:pPr>
        <w:widowControl w:val="0"/>
        <w:jc w:val="both"/>
        <w:rPr>
          <w:b/>
          <w:bCs/>
          <w:color w:val="000000" w:themeColor="text1"/>
          <w:sz w:val="22"/>
          <w:szCs w:val="22"/>
          <w:lang w:val="pt-BR"/>
        </w:rPr>
      </w:pPr>
    </w:p>
    <w:p w14:paraId="59101EB4" w14:textId="77777777" w:rsidR="001B15F1" w:rsidRPr="00E602DC" w:rsidRDefault="00000000">
      <w:pPr>
        <w:widowControl w:val="0"/>
        <w:jc w:val="both"/>
        <w:rPr>
          <w:b/>
          <w:bCs/>
          <w:color w:val="000000" w:themeColor="text1"/>
          <w:sz w:val="22"/>
          <w:szCs w:val="22"/>
          <w:lang w:val="pt-BR"/>
        </w:rPr>
      </w:pPr>
      <w:r w:rsidRPr="00E602DC">
        <w:rPr>
          <w:color w:val="000000" w:themeColor="text1"/>
          <w:sz w:val="20"/>
          <w:szCs w:val="20"/>
          <w:lang w:val="pt-BR"/>
        </w:rPr>
        <w:t xml:space="preserve">ROBERTSON, Stephen; ZARAGOZA, Hugo. </w:t>
      </w:r>
      <w:r w:rsidRPr="00E602DC">
        <w:rPr>
          <w:color w:val="000000" w:themeColor="text1"/>
          <w:sz w:val="20"/>
          <w:szCs w:val="20"/>
        </w:rPr>
        <w:t xml:space="preserve">The probabilistic relevance framework: BM25 and beyond. Foundations and Trends in Information Retrieval, [s. l.], v. 3, n. 4, p. 333-389, 2009. </w:t>
      </w:r>
      <w:r w:rsidRPr="00E602DC">
        <w:rPr>
          <w:color w:val="000000" w:themeColor="text1"/>
          <w:sz w:val="20"/>
          <w:szCs w:val="20"/>
          <w:lang w:val="pt-BR"/>
        </w:rPr>
        <w:t>Disponível em: https://www.staff.city.ac.uk/~sbrp622/papers/foundations_bm25_review.pdf. Acesso em: 28 ago. 2026.</w:t>
      </w:r>
    </w:p>
    <w:p w14:paraId="5A76D1A8" w14:textId="77777777" w:rsidR="001B15F1" w:rsidRPr="00E602DC" w:rsidRDefault="001B15F1">
      <w:pPr>
        <w:pBdr>
          <w:top w:val="nil"/>
          <w:left w:val="nil"/>
          <w:bottom w:val="nil"/>
          <w:right w:val="nil"/>
          <w:between w:val="nil"/>
        </w:pBdr>
        <w:spacing w:after="120" w:line="220" w:lineRule="auto"/>
        <w:jc w:val="both"/>
        <w:rPr>
          <w:color w:val="000000" w:themeColor="text1"/>
          <w:sz w:val="16"/>
          <w:szCs w:val="16"/>
          <w:lang w:val="pt-BR"/>
        </w:rPr>
      </w:pPr>
    </w:p>
    <w:p w14:paraId="1B55F3F3" w14:textId="77777777" w:rsidR="001B15F1" w:rsidRPr="00E602DC" w:rsidRDefault="001B15F1">
      <w:pPr>
        <w:pBdr>
          <w:top w:val="nil"/>
          <w:left w:val="nil"/>
          <w:bottom w:val="nil"/>
          <w:right w:val="nil"/>
          <w:between w:val="nil"/>
        </w:pBdr>
        <w:spacing w:after="120" w:line="220" w:lineRule="auto"/>
        <w:jc w:val="both"/>
        <w:rPr>
          <w:color w:val="000000" w:themeColor="text1"/>
          <w:sz w:val="16"/>
          <w:szCs w:val="16"/>
          <w:lang w:val="pt-BR"/>
        </w:rPr>
      </w:pPr>
    </w:p>
    <w:p w14:paraId="4B7C638E" w14:textId="77777777" w:rsidR="001B15F1" w:rsidRPr="00E602DC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20" w:lineRule="auto"/>
        <w:jc w:val="both"/>
        <w:rPr>
          <w:color w:val="000000" w:themeColor="text1"/>
          <w:lang w:val="pt-BR"/>
        </w:rPr>
      </w:pPr>
      <w:r w:rsidRPr="00E602DC">
        <w:rPr>
          <w:color w:val="000000" w:themeColor="text1"/>
          <w:lang w:val="pt-BR"/>
        </w:rPr>
        <w:t>Assinatura do discente:</w:t>
      </w:r>
    </w:p>
    <w:p w14:paraId="7E0413DA" w14:textId="77777777" w:rsidR="001B15F1" w:rsidRPr="00E602DC" w:rsidRDefault="001B15F1">
      <w:pPr>
        <w:pBdr>
          <w:top w:val="nil"/>
          <w:left w:val="nil"/>
          <w:bottom w:val="nil"/>
          <w:right w:val="nil"/>
          <w:between w:val="nil"/>
        </w:pBdr>
        <w:spacing w:after="120" w:line="220" w:lineRule="auto"/>
        <w:jc w:val="both"/>
        <w:rPr>
          <w:color w:val="000000" w:themeColor="text1"/>
          <w:lang w:val="pt-BR"/>
        </w:rPr>
      </w:pPr>
    </w:p>
    <w:p w14:paraId="7D7A8728" w14:textId="77777777" w:rsidR="001B15F1" w:rsidRPr="00E602DC" w:rsidRDefault="001B15F1">
      <w:pPr>
        <w:pBdr>
          <w:top w:val="nil"/>
          <w:left w:val="nil"/>
          <w:bottom w:val="nil"/>
          <w:right w:val="nil"/>
          <w:between w:val="nil"/>
        </w:pBdr>
        <w:spacing w:after="120" w:line="220" w:lineRule="auto"/>
        <w:jc w:val="both"/>
        <w:rPr>
          <w:lang w:val="pt-BR"/>
        </w:rPr>
      </w:pPr>
    </w:p>
    <w:p w14:paraId="609FF833" w14:textId="77777777" w:rsidR="001B15F1" w:rsidRPr="00E602DC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20" w:lineRule="auto"/>
        <w:jc w:val="both"/>
        <w:rPr>
          <w:sz w:val="16"/>
          <w:szCs w:val="16"/>
          <w:lang w:val="pt-BR"/>
        </w:rPr>
      </w:pPr>
      <w:r w:rsidRPr="00E602DC">
        <w:rPr>
          <w:lang w:val="pt-BR"/>
        </w:rPr>
        <w:t>Assinatura do orientador:</w:t>
      </w:r>
    </w:p>
    <w:sectPr w:rsidR="001B15F1" w:rsidRPr="00E602DC">
      <w:headerReference w:type="even" r:id="rId12"/>
      <w:type w:val="continuous"/>
      <w:pgSz w:w="11906" w:h="16838"/>
      <w:pgMar w:top="964" w:right="766" w:bottom="1242" w:left="766" w:header="720" w:footer="238" w:gutter="0"/>
      <w:cols w:num="2" w:space="720" w:equalWidth="0">
        <w:col w:w="5007" w:space="360"/>
        <w:col w:w="5007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225E6" w14:textId="77777777" w:rsidR="00E12F8B" w:rsidRDefault="00E12F8B">
      <w:r>
        <w:separator/>
      </w:r>
    </w:p>
  </w:endnote>
  <w:endnote w:type="continuationSeparator" w:id="0">
    <w:p w14:paraId="1E7076B3" w14:textId="77777777" w:rsidR="00E12F8B" w:rsidRDefault="00E12F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63DCA79-CFC1-4CA6-90DA-77940E237163}"/>
    <w:embedBoldItalic r:id="rId2" w:fontKey="{ED5871B5-663C-4ECB-AB92-4CE5B46B4BC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  <w:embedRegular r:id="rId3" w:fontKey="{44FB0038-A191-443F-B8EC-1EC7D77318F2}"/>
  </w:font>
  <w:font w:name="Georgia">
    <w:panose1 w:val="02040502050405020303"/>
    <w:charset w:val="00"/>
    <w:family w:val="auto"/>
    <w:pitch w:val="default"/>
    <w:embedItalic r:id="rId4" w:fontKey="{EBE6AB5D-766B-4E46-9D83-D72FD015D92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9189406-C2E3-427D-ABFE-4503D6DE913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0B61F" w14:textId="77777777" w:rsidR="00E12F8B" w:rsidRDefault="00E12F8B">
      <w:r>
        <w:separator/>
      </w:r>
    </w:p>
  </w:footnote>
  <w:footnote w:type="continuationSeparator" w:id="0">
    <w:p w14:paraId="0CBBA1F3" w14:textId="77777777" w:rsidR="00E12F8B" w:rsidRDefault="00E12F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FB5B6" w14:textId="77777777" w:rsidR="001B15F1" w:rsidRDefault="00000000">
    <w:pPr>
      <w:tabs>
        <w:tab w:val="left" w:pos="-720"/>
        <w:tab w:val="left" w:pos="0"/>
        <w:tab w:val="left" w:pos="480"/>
        <w:tab w:val="left" w:pos="840"/>
        <w:tab w:val="left" w:pos="1200"/>
        <w:tab w:val="left" w:pos="1560"/>
        <w:tab w:val="left" w:pos="1920"/>
        <w:tab w:val="left" w:pos="2280"/>
        <w:tab w:val="left" w:pos="2640"/>
        <w:tab w:val="left" w:pos="3000"/>
        <w:tab w:val="left" w:pos="3360"/>
        <w:tab w:val="left" w:pos="3720"/>
        <w:tab w:val="left" w:pos="4080"/>
        <w:tab w:val="left" w:pos="4440"/>
        <w:tab w:val="left" w:pos="4800"/>
        <w:tab w:val="left" w:pos="5160"/>
        <w:tab w:val="left" w:pos="5520"/>
        <w:tab w:val="left" w:pos="5880"/>
        <w:tab w:val="left" w:pos="6240"/>
        <w:tab w:val="left" w:pos="6600"/>
        <w:tab w:val="left" w:pos="6960"/>
        <w:tab w:val="left" w:pos="7320"/>
        <w:tab w:val="left" w:pos="7680"/>
        <w:tab w:val="left" w:pos="8040"/>
        <w:tab w:val="left" w:pos="8400"/>
        <w:tab w:val="left" w:pos="8760"/>
        <w:tab w:val="left" w:pos="9120"/>
      </w:tabs>
      <w:jc w:val="both"/>
      <w:rPr>
        <w:rFonts w:ascii="Calibri" w:eastAsia="Calibri" w:hAnsi="Calibri" w:cs="Calibri"/>
        <w:sz w:val="22"/>
        <w:szCs w:val="22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312714A" wp14:editId="0590F901">
          <wp:simplePos x="0" y="0"/>
          <wp:positionH relativeFrom="column">
            <wp:posOffset>2686050</wp:posOffset>
          </wp:positionH>
          <wp:positionV relativeFrom="paragraph">
            <wp:posOffset>-247649</wp:posOffset>
          </wp:positionV>
          <wp:extent cx="572135" cy="530860"/>
          <wp:effectExtent l="0" t="0" r="0" b="0"/>
          <wp:wrapNone/>
          <wp:docPr id="31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2135" cy="5308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AFAF68A" w14:textId="77777777" w:rsidR="001B15F1" w:rsidRDefault="001B15F1">
    <w:pPr>
      <w:tabs>
        <w:tab w:val="left" w:pos="-720"/>
        <w:tab w:val="left" w:pos="0"/>
        <w:tab w:val="left" w:pos="480"/>
        <w:tab w:val="left" w:pos="840"/>
        <w:tab w:val="left" w:pos="1200"/>
        <w:tab w:val="left" w:pos="1560"/>
        <w:tab w:val="left" w:pos="1920"/>
        <w:tab w:val="left" w:pos="2280"/>
        <w:tab w:val="left" w:pos="2640"/>
        <w:tab w:val="left" w:pos="3000"/>
        <w:tab w:val="left" w:pos="3360"/>
        <w:tab w:val="left" w:pos="3720"/>
        <w:tab w:val="left" w:pos="4080"/>
        <w:tab w:val="left" w:pos="4440"/>
        <w:tab w:val="left" w:pos="4800"/>
        <w:tab w:val="left" w:pos="5160"/>
        <w:tab w:val="left" w:pos="5520"/>
        <w:tab w:val="left" w:pos="5880"/>
        <w:tab w:val="left" w:pos="6240"/>
        <w:tab w:val="left" w:pos="6600"/>
        <w:tab w:val="left" w:pos="6960"/>
        <w:tab w:val="left" w:pos="7320"/>
        <w:tab w:val="left" w:pos="7680"/>
        <w:tab w:val="left" w:pos="8040"/>
        <w:tab w:val="left" w:pos="8400"/>
        <w:tab w:val="left" w:pos="8760"/>
        <w:tab w:val="left" w:pos="9120"/>
      </w:tabs>
      <w:jc w:val="center"/>
      <w:rPr>
        <w:sz w:val="20"/>
        <w:szCs w:val="20"/>
      </w:rPr>
    </w:pPr>
  </w:p>
  <w:p w14:paraId="28D0C36E" w14:textId="77777777" w:rsidR="001B15F1" w:rsidRPr="00E602DC" w:rsidRDefault="00000000">
    <w:pPr>
      <w:tabs>
        <w:tab w:val="left" w:pos="-720"/>
        <w:tab w:val="left" w:pos="0"/>
        <w:tab w:val="left" w:pos="480"/>
        <w:tab w:val="left" w:pos="840"/>
        <w:tab w:val="left" w:pos="1200"/>
        <w:tab w:val="left" w:pos="1560"/>
        <w:tab w:val="left" w:pos="1920"/>
        <w:tab w:val="left" w:pos="2280"/>
        <w:tab w:val="left" w:pos="2640"/>
        <w:tab w:val="left" w:pos="3000"/>
        <w:tab w:val="left" w:pos="3360"/>
        <w:tab w:val="left" w:pos="3720"/>
        <w:tab w:val="left" w:pos="4080"/>
        <w:tab w:val="left" w:pos="4440"/>
        <w:tab w:val="left" w:pos="4800"/>
        <w:tab w:val="left" w:pos="5160"/>
        <w:tab w:val="left" w:pos="5520"/>
        <w:tab w:val="left" w:pos="5880"/>
        <w:tab w:val="left" w:pos="6240"/>
        <w:tab w:val="left" w:pos="6600"/>
        <w:tab w:val="left" w:pos="6960"/>
        <w:tab w:val="left" w:pos="7320"/>
        <w:tab w:val="left" w:pos="7680"/>
        <w:tab w:val="left" w:pos="8040"/>
        <w:tab w:val="left" w:pos="8400"/>
        <w:tab w:val="left" w:pos="8760"/>
        <w:tab w:val="left" w:pos="9120"/>
      </w:tabs>
      <w:jc w:val="center"/>
      <w:rPr>
        <w:sz w:val="20"/>
        <w:szCs w:val="20"/>
        <w:lang w:val="pt-BR"/>
      </w:rPr>
    </w:pPr>
    <w:r w:rsidRPr="00E602DC">
      <w:rPr>
        <w:sz w:val="20"/>
        <w:szCs w:val="20"/>
        <w:lang w:val="pt-BR"/>
      </w:rPr>
      <w:t>Ministério da Educação</w:t>
    </w:r>
  </w:p>
  <w:p w14:paraId="6BE62EBF" w14:textId="77777777" w:rsidR="001B15F1" w:rsidRPr="00E602DC" w:rsidRDefault="00000000">
    <w:pPr>
      <w:tabs>
        <w:tab w:val="left" w:pos="-720"/>
        <w:tab w:val="left" w:pos="0"/>
        <w:tab w:val="left" w:pos="480"/>
        <w:tab w:val="left" w:pos="840"/>
        <w:tab w:val="left" w:pos="1200"/>
        <w:tab w:val="left" w:pos="1560"/>
        <w:tab w:val="left" w:pos="1920"/>
        <w:tab w:val="left" w:pos="2280"/>
        <w:tab w:val="left" w:pos="2640"/>
        <w:tab w:val="left" w:pos="3000"/>
        <w:tab w:val="left" w:pos="3360"/>
        <w:tab w:val="left" w:pos="3720"/>
        <w:tab w:val="left" w:pos="4080"/>
        <w:tab w:val="left" w:pos="4440"/>
        <w:tab w:val="left" w:pos="4800"/>
        <w:tab w:val="left" w:pos="5160"/>
        <w:tab w:val="left" w:pos="5520"/>
        <w:tab w:val="left" w:pos="5880"/>
        <w:tab w:val="left" w:pos="6240"/>
        <w:tab w:val="left" w:pos="6600"/>
        <w:tab w:val="left" w:pos="6960"/>
        <w:tab w:val="left" w:pos="7320"/>
        <w:tab w:val="left" w:pos="7680"/>
        <w:tab w:val="left" w:pos="8040"/>
        <w:tab w:val="left" w:pos="8400"/>
        <w:tab w:val="left" w:pos="8760"/>
        <w:tab w:val="left" w:pos="9120"/>
      </w:tabs>
      <w:jc w:val="center"/>
      <w:rPr>
        <w:b/>
        <w:bCs/>
        <w:sz w:val="20"/>
        <w:szCs w:val="20"/>
        <w:lang w:val="pt-BR"/>
      </w:rPr>
    </w:pPr>
    <w:r w:rsidRPr="00E602DC">
      <w:rPr>
        <w:b/>
        <w:bCs/>
        <w:sz w:val="20"/>
        <w:szCs w:val="20"/>
        <w:lang w:val="pt-BR"/>
      </w:rPr>
      <w:t>UNIVERSIDADE FEDERAL DE ITAJUBÁ</w:t>
    </w:r>
  </w:p>
  <w:p w14:paraId="789C42C7" w14:textId="77777777" w:rsidR="001B15F1" w:rsidRPr="00E602DC" w:rsidRDefault="00000000">
    <w:pPr>
      <w:tabs>
        <w:tab w:val="center" w:pos="4252"/>
        <w:tab w:val="right" w:pos="8504"/>
      </w:tabs>
      <w:jc w:val="center"/>
      <w:rPr>
        <w:sz w:val="20"/>
        <w:szCs w:val="20"/>
        <w:lang w:val="pt-BR"/>
      </w:rPr>
    </w:pPr>
    <w:r w:rsidRPr="00E602DC">
      <w:rPr>
        <w:sz w:val="20"/>
        <w:szCs w:val="20"/>
        <w:lang w:val="pt-BR"/>
      </w:rPr>
      <w:t>Criada pela Lei nº 10.435, de 24 de abril de 2002</w:t>
    </w:r>
  </w:p>
  <w:p w14:paraId="1DBAD3FE" w14:textId="77777777" w:rsidR="001B15F1" w:rsidRDefault="00000000">
    <w:pPr>
      <w:tabs>
        <w:tab w:val="center" w:pos="4252"/>
        <w:tab w:val="right" w:pos="8504"/>
      </w:tabs>
      <w:jc w:val="center"/>
      <w:rPr>
        <w:sz w:val="20"/>
        <w:szCs w:val="20"/>
      </w:rPr>
    </w:pPr>
    <w:proofErr w:type="spellStart"/>
    <w:r>
      <w:rPr>
        <w:sz w:val="20"/>
        <w:szCs w:val="20"/>
      </w:rPr>
      <w:t>Diretoria</w:t>
    </w:r>
    <w:proofErr w:type="spellEnd"/>
    <w:r>
      <w:rPr>
        <w:sz w:val="20"/>
        <w:szCs w:val="20"/>
      </w:rPr>
      <w:t xml:space="preserve"> de Pesquisa</w:t>
    </w:r>
  </w:p>
  <w:p w14:paraId="236368F4" w14:textId="77777777" w:rsidR="001B15F1" w:rsidRDefault="001B15F1">
    <w:pPr>
      <w:tabs>
        <w:tab w:val="center" w:pos="4252"/>
        <w:tab w:val="right" w:pos="8504"/>
      </w:tabs>
      <w:jc w:val="center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93040" w14:textId="77777777" w:rsidR="001B15F1" w:rsidRDefault="00000000">
    <w:r>
      <w:t>1</w:t>
    </w:r>
    <w:r>
      <w:fldChar w:fldCharType="begin"/>
    </w:r>
    <w:r>
      <w:instrText>PAGE</w:instrText>
    </w:r>
    <w:r>
      <w:fldChar w:fldCharType="separate"/>
    </w:r>
    <w:r>
      <w:fldChar w:fldCharType="end"/>
    </w:r>
  </w:p>
  <w:p w14:paraId="5F9CCC7B" w14:textId="77777777" w:rsidR="001B15F1" w:rsidRDefault="00000000">
    <w:pPr>
      <w:tabs>
        <w:tab w:val="center" w:pos="4560"/>
        <w:tab w:val="right" w:pos="9120"/>
      </w:tabs>
      <w:ind w:right="360" w:firstLine="360"/>
      <w:jc w:val="center"/>
    </w:pPr>
    <w:r>
      <w:t>Bioorganic &amp; Medicinal Chemistry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6F99"/>
    <w:multiLevelType w:val="multilevel"/>
    <w:tmpl w:val="E1ECDC0A"/>
    <w:lvl w:ilvl="0">
      <w:start w:val="1"/>
      <w:numFmt w:val="decimal"/>
      <w:pStyle w:val="Els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Els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Els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Els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Els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7742340">
    <w:abstractNumId w:val="0"/>
  </w:num>
  <w:num w:numId="2" w16cid:durableId="13455888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5F1"/>
    <w:rsid w:val="001B15F1"/>
    <w:rsid w:val="002714C4"/>
    <w:rsid w:val="00E12F8B"/>
    <w:rsid w:val="00E60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3E17C"/>
  <w15:docId w15:val="{F417EC9B-6D3E-4CFF-A6CA-7A07A037A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jc w:val="both"/>
      <w:outlineLvl w:val="0"/>
    </w:pPr>
    <w:rPr>
      <w:b/>
      <w:bCs/>
      <w:sz w:val="26"/>
      <w:szCs w:val="2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Cambria" w:eastAsia="Cambria" w:hAnsi="Cambria" w:cs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ElsAbstractHead">
    <w:name w:val="Els_AbstractHead"/>
    <w:rPr>
      <w:smallCaps/>
      <w:spacing w:val="24"/>
      <w:lang w:val="en-US" w:eastAsia="en-US"/>
    </w:rPr>
  </w:style>
  <w:style w:type="paragraph" w:customStyle="1" w:styleId="ElsAbstractText">
    <w:name w:val="Els_AbstractText"/>
    <w:pPr>
      <w:spacing w:after="80" w:line="200" w:lineRule="exact"/>
      <w:jc w:val="both"/>
    </w:pPr>
    <w:rPr>
      <w:sz w:val="17"/>
      <w:lang w:eastAsia="en-US"/>
    </w:rPr>
  </w:style>
  <w:style w:type="paragraph" w:customStyle="1" w:styleId="ElsAffiliation">
    <w:name w:val="Els_Affiliation"/>
    <w:pPr>
      <w:spacing w:line="200" w:lineRule="exact"/>
    </w:pPr>
    <w:rPr>
      <w:i/>
      <w:sz w:val="16"/>
      <w:lang w:val="en-US" w:eastAsia="en-US"/>
    </w:rPr>
  </w:style>
  <w:style w:type="paragraph" w:customStyle="1" w:styleId="ElsArticlehistory">
    <w:name w:val="Els_Articlehistory"/>
    <w:pPr>
      <w:spacing w:line="200" w:lineRule="exact"/>
    </w:pPr>
    <w:rPr>
      <w:i/>
      <w:sz w:val="16"/>
      <w:lang w:val="en-US" w:eastAsia="en-US"/>
    </w:rPr>
  </w:style>
  <w:style w:type="paragraph" w:customStyle="1" w:styleId="ElsArticleinfoHead">
    <w:name w:val="Els_ArticleinfoHead"/>
    <w:rPr>
      <w:smallCaps/>
      <w:spacing w:val="24"/>
      <w:lang w:val="en-US" w:eastAsia="en-US"/>
    </w:rPr>
  </w:style>
  <w:style w:type="paragraph" w:customStyle="1" w:styleId="ElsArticleTitle">
    <w:name w:val="Els_ArticleTitle"/>
    <w:next w:val="ElsAuthor"/>
    <w:pPr>
      <w:spacing w:before="360" w:after="240" w:line="350" w:lineRule="exact"/>
    </w:pPr>
    <w:rPr>
      <w:sz w:val="30"/>
      <w:lang w:val="en-US" w:eastAsia="en-US"/>
    </w:rPr>
  </w:style>
  <w:style w:type="paragraph" w:customStyle="1" w:styleId="ElsAuthor">
    <w:name w:val="Els_Author"/>
    <w:next w:val="ElsAffiliation"/>
    <w:pPr>
      <w:spacing w:after="160" w:line="290" w:lineRule="exact"/>
    </w:pPr>
    <w:rPr>
      <w:lang w:val="en-US" w:eastAsia="en-US"/>
    </w:rPr>
  </w:style>
  <w:style w:type="paragraph" w:customStyle="1" w:styleId="ElsCorrespondingAuthor">
    <w:name w:val="Els_CorrespondingAuthor"/>
    <w:next w:val="ElsFootnote"/>
    <w:pPr>
      <w:spacing w:before="120" w:line="200" w:lineRule="exact"/>
    </w:pPr>
    <w:rPr>
      <w:sz w:val="18"/>
      <w:lang w:val="en-US" w:eastAsia="en-US"/>
    </w:rPr>
  </w:style>
  <w:style w:type="paragraph" w:customStyle="1" w:styleId="ElsDocumenttitle">
    <w:name w:val="Els_Document title"/>
    <w:next w:val="ElsArticleTitle"/>
    <w:autoRedefine/>
    <w:pPr>
      <w:spacing w:after="120"/>
    </w:pPr>
    <w:rPr>
      <w:b/>
      <w:kern w:val="28"/>
      <w:sz w:val="26"/>
      <w:lang w:val="en-GB" w:eastAsia="en-US"/>
    </w:rPr>
  </w:style>
  <w:style w:type="paragraph" w:customStyle="1" w:styleId="ElsDocumentHeading">
    <w:name w:val="Els_DocumentHeading"/>
    <w:next w:val="Normal"/>
    <w:pPr>
      <w:spacing w:before="190" w:after="190" w:line="210" w:lineRule="exact"/>
    </w:pPr>
    <w:rPr>
      <w:sz w:val="19"/>
      <w:lang w:val="en-US" w:eastAsia="en-US"/>
    </w:rPr>
  </w:style>
  <w:style w:type="paragraph" w:customStyle="1" w:styleId="ElsFootnote">
    <w:name w:val="Els_Footnote"/>
    <w:pPr>
      <w:spacing w:before="120" w:line="200" w:lineRule="exact"/>
    </w:pPr>
    <w:rPr>
      <w:sz w:val="18"/>
      <w:lang w:val="en-US" w:eastAsia="en-US"/>
    </w:rPr>
  </w:style>
  <w:style w:type="paragraph" w:customStyle="1" w:styleId="ElsKeyword">
    <w:name w:val="Els_Keyword"/>
    <w:pPr>
      <w:spacing w:line="200" w:lineRule="exact"/>
    </w:pPr>
    <w:rPr>
      <w:sz w:val="16"/>
      <w:lang w:val="en-US" w:eastAsia="en-US"/>
    </w:rPr>
  </w:style>
  <w:style w:type="paragraph" w:customStyle="1" w:styleId="ElsKeywordHead">
    <w:name w:val="Els_KeywordHead"/>
    <w:next w:val="ElsKeyword"/>
    <w:pPr>
      <w:spacing w:line="200" w:lineRule="exact"/>
    </w:pPr>
    <w:rPr>
      <w:i/>
      <w:noProof/>
      <w:sz w:val="16"/>
      <w:lang w:val="en-US" w:eastAsia="en-US"/>
    </w:rPr>
  </w:style>
  <w:style w:type="paragraph" w:customStyle="1" w:styleId="ElsParagraph">
    <w:name w:val="Els_Paragraph"/>
    <w:pPr>
      <w:spacing w:after="120" w:line="220" w:lineRule="exact"/>
      <w:ind w:firstLine="230"/>
      <w:jc w:val="both"/>
    </w:pPr>
    <w:rPr>
      <w:sz w:val="19"/>
      <w:lang w:val="en-US" w:eastAsia="en-US"/>
    </w:rPr>
  </w:style>
  <w:style w:type="paragraph" w:customStyle="1" w:styleId="ElsHeading1">
    <w:name w:val="Els_Heading1"/>
    <w:next w:val="ElsParagraph"/>
    <w:pPr>
      <w:keepNext/>
      <w:numPr>
        <w:numId w:val="1"/>
      </w:numPr>
      <w:spacing w:before="160" w:after="160" w:line="210" w:lineRule="exact"/>
    </w:pPr>
    <w:rPr>
      <w:b/>
      <w:bCs/>
      <w:sz w:val="19"/>
      <w:lang w:val="en-US" w:eastAsia="en-US"/>
    </w:rPr>
  </w:style>
  <w:style w:type="paragraph" w:customStyle="1" w:styleId="ElsHeading2">
    <w:name w:val="Els_Heading2"/>
    <w:next w:val="ElsParagraph"/>
    <w:pPr>
      <w:numPr>
        <w:ilvl w:val="1"/>
        <w:numId w:val="1"/>
      </w:numPr>
      <w:spacing w:after="160" w:line="210" w:lineRule="exact"/>
    </w:pPr>
    <w:rPr>
      <w:bCs/>
      <w:i/>
      <w:sz w:val="19"/>
      <w:lang w:val="en-US" w:eastAsia="en-US"/>
    </w:rPr>
  </w:style>
  <w:style w:type="paragraph" w:customStyle="1" w:styleId="ElsHeading3">
    <w:name w:val="Els_Heading3"/>
    <w:next w:val="ElsParagraph"/>
    <w:pPr>
      <w:numPr>
        <w:ilvl w:val="2"/>
        <w:numId w:val="1"/>
      </w:numPr>
      <w:spacing w:after="40" w:line="210" w:lineRule="exact"/>
      <w:outlineLvl w:val="0"/>
    </w:pPr>
    <w:rPr>
      <w:i/>
      <w:spacing w:val="20"/>
      <w:sz w:val="19"/>
      <w:lang w:val="en-US" w:eastAsia="en-US"/>
    </w:rPr>
  </w:style>
  <w:style w:type="paragraph" w:customStyle="1" w:styleId="ElsHeading4">
    <w:name w:val="Els_Heading4"/>
    <w:next w:val="ElsParagraph"/>
    <w:pPr>
      <w:numPr>
        <w:ilvl w:val="3"/>
        <w:numId w:val="1"/>
      </w:numPr>
      <w:spacing w:after="160" w:line="210" w:lineRule="exact"/>
      <w:outlineLvl w:val="0"/>
    </w:pPr>
    <w:rPr>
      <w:i/>
      <w:spacing w:val="20"/>
      <w:sz w:val="19"/>
      <w:lang w:val="en-US" w:eastAsia="en-US"/>
    </w:rPr>
  </w:style>
  <w:style w:type="paragraph" w:customStyle="1" w:styleId="ElsHeading5">
    <w:name w:val="Els_Heading5"/>
    <w:next w:val="ElsParagraph"/>
    <w:pPr>
      <w:numPr>
        <w:ilvl w:val="4"/>
        <w:numId w:val="1"/>
      </w:numPr>
      <w:spacing w:after="160" w:line="210" w:lineRule="exact"/>
      <w:outlineLvl w:val="0"/>
    </w:pPr>
    <w:rPr>
      <w:i/>
      <w:spacing w:val="20"/>
      <w:sz w:val="19"/>
      <w:lang w:val="en-US" w:eastAsia="en-US"/>
    </w:rPr>
  </w:style>
  <w:style w:type="paragraph" w:customStyle="1" w:styleId="ElsAcknowledgementsHeading">
    <w:name w:val="Els_AcknowledgementsHeading"/>
    <w:next w:val="ElsParagraph"/>
    <w:pPr>
      <w:spacing w:before="220" w:after="220" w:line="220" w:lineRule="exact"/>
    </w:pPr>
    <w:rPr>
      <w:b/>
      <w:lang w:val="en-US" w:eastAsia="en-US"/>
    </w:rPr>
  </w:style>
  <w:style w:type="paragraph" w:customStyle="1" w:styleId="ElsReferencesHeading">
    <w:name w:val="Els_ReferencesHeading"/>
    <w:next w:val="ElsReferences"/>
    <w:pPr>
      <w:keepNext/>
      <w:spacing w:before="240" w:after="240"/>
    </w:pPr>
    <w:rPr>
      <w:b/>
      <w:sz w:val="19"/>
      <w:lang w:val="en-US" w:eastAsia="en-US"/>
    </w:rPr>
  </w:style>
  <w:style w:type="paragraph" w:customStyle="1" w:styleId="ElsReferences">
    <w:name w:val="Els_References"/>
    <w:pPr>
      <w:tabs>
        <w:tab w:val="num" w:pos="720"/>
      </w:tabs>
      <w:ind w:left="720" w:hanging="720"/>
    </w:pPr>
    <w:rPr>
      <w:sz w:val="16"/>
      <w:lang w:val="en-US" w:eastAsia="en-US"/>
    </w:rPr>
  </w:style>
  <w:style w:type="paragraph" w:customStyle="1" w:styleId="ElsFigureCaption">
    <w:name w:val="Els_FigureCaption"/>
    <w:pPr>
      <w:spacing w:line="220" w:lineRule="exact"/>
      <w:ind w:firstLine="230"/>
    </w:pPr>
    <w:rPr>
      <w:sz w:val="16"/>
      <w:lang w:val="en-US" w:eastAsia="en-US"/>
    </w:rPr>
  </w:style>
  <w:style w:type="paragraph" w:customStyle="1" w:styleId="ElsTableCaption">
    <w:name w:val="Els_TableCaption"/>
    <w:next w:val="ElsParagraph"/>
    <w:pPr>
      <w:keepNext/>
    </w:pPr>
    <w:rPr>
      <w:lang w:val="en-US" w:eastAsia="en-US"/>
    </w:rPr>
  </w:style>
  <w:style w:type="paragraph" w:customStyle="1" w:styleId="ElsLegend">
    <w:name w:val="Els_Legend"/>
    <w:pPr>
      <w:spacing w:after="120" w:line="180" w:lineRule="exact"/>
    </w:pPr>
    <w:rPr>
      <w:sz w:val="16"/>
      <w:lang w:val="en-US" w:eastAsia="en-US"/>
    </w:rPr>
  </w:style>
  <w:style w:type="paragraph" w:customStyle="1" w:styleId="ElsDisplayMath">
    <w:name w:val="Els_DisplayMath"/>
    <w:basedOn w:val="ElsParagraph"/>
    <w:next w:val="ElsParagraph"/>
    <w:pPr>
      <w:spacing w:before="100" w:beforeAutospacing="1" w:after="100" w:afterAutospacing="1"/>
    </w:pPr>
  </w:style>
  <w:style w:type="paragraph" w:customStyle="1" w:styleId="ElsGraphAbs">
    <w:name w:val="Els_GraphAbs"/>
  </w:style>
  <w:style w:type="paragraph" w:customStyle="1" w:styleId="ElsChemEquation">
    <w:name w:val="Els_ChemEquation"/>
    <w:next w:val="ElsParagraph"/>
    <w:rPr>
      <w:lang w:val="en-US" w:eastAsia="en-US"/>
    </w:rPr>
  </w:style>
  <w:style w:type="paragraph" w:customStyle="1" w:styleId="ElsTableFootnote">
    <w:name w:val="Els_TableFootnote"/>
    <w:basedOn w:val="ElsParagraph"/>
    <w:rPr>
      <w:color w:val="0000FF"/>
    </w:rPr>
  </w:style>
  <w:style w:type="paragraph" w:customStyle="1" w:styleId="ElsSchemeCaption">
    <w:name w:val="Els_SchemeCaption"/>
    <w:basedOn w:val="ElsChemEquation"/>
  </w:style>
  <w:style w:type="paragraph" w:customStyle="1" w:styleId="ElsGraphText">
    <w:name w:val="Els_GraphText"/>
    <w:basedOn w:val="Normal"/>
    <w:pPr>
      <w:spacing w:after="440" w:line="220" w:lineRule="exact"/>
    </w:pPr>
    <w:rPr>
      <w:sz w:val="20"/>
      <w:szCs w:val="20"/>
    </w:rPr>
  </w:style>
  <w:style w:type="paragraph" w:customStyle="1" w:styleId="ElsGraphTitle">
    <w:name w:val="Els_GraphTitle"/>
    <w:basedOn w:val="Normal"/>
    <w:pPr>
      <w:keepNext/>
      <w:spacing w:after="60"/>
      <w:ind w:right="5280"/>
    </w:pPr>
    <w:rPr>
      <w:b/>
      <w:szCs w:val="20"/>
    </w:rPr>
  </w:style>
  <w:style w:type="paragraph" w:customStyle="1" w:styleId="ElsGraphAuthor">
    <w:name w:val="Els_GraphAuthor"/>
    <w:basedOn w:val="Normal"/>
    <w:pPr>
      <w:keepNext/>
    </w:pPr>
    <w:rPr>
      <w:sz w:val="22"/>
      <w:szCs w:val="20"/>
    </w:rPr>
  </w:style>
  <w:style w:type="paragraph" w:customStyle="1" w:styleId="ElsGraphAddress">
    <w:name w:val="Els_GraphAddress"/>
    <w:basedOn w:val="Normal"/>
    <w:rPr>
      <w:i/>
      <w:sz w:val="22"/>
      <w:szCs w:val="20"/>
    </w:rPr>
  </w:style>
  <w:style w:type="paragraph" w:customStyle="1" w:styleId="ElsGraphPlaceholder">
    <w:name w:val="Els_GraphPlaceholder"/>
    <w:basedOn w:val="Normal"/>
    <w:pPr>
      <w:jc w:val="center"/>
    </w:pPr>
    <w:rPr>
      <w:sz w:val="20"/>
      <w:szCs w:val="20"/>
    </w:rPr>
  </w:style>
  <w:style w:type="paragraph" w:styleId="Textodebalo">
    <w:name w:val="Balloon Text"/>
    <w:basedOn w:val="Normal"/>
    <w:link w:val="TextodebaloChar"/>
    <w:rsid w:val="0058694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8694D"/>
    <w:rPr>
      <w:rFonts w:ascii="Tahoma" w:hAnsi="Tahoma" w:cs="Tahoma"/>
      <w:sz w:val="16"/>
      <w:szCs w:val="16"/>
      <w:lang w:val="en-US" w:eastAsia="en-US"/>
    </w:rPr>
  </w:style>
  <w:style w:type="paragraph" w:customStyle="1" w:styleId="Figura">
    <w:name w:val="Figura"/>
    <w:basedOn w:val="Normal"/>
    <w:autoRedefine/>
    <w:qFormat/>
    <w:rsid w:val="00FA0090"/>
    <w:pPr>
      <w:suppressAutoHyphens/>
      <w:autoSpaceDE w:val="0"/>
      <w:spacing w:after="120" w:line="220" w:lineRule="exact"/>
      <w:jc w:val="center"/>
      <w:outlineLvl w:val="0"/>
    </w:pPr>
    <w:rPr>
      <w:bCs/>
      <w:noProof/>
      <w:color w:val="000000"/>
      <w:sz w:val="19"/>
      <w:szCs w:val="19"/>
      <w:lang w:val="pt-BR"/>
    </w:rPr>
  </w:style>
  <w:style w:type="character" w:customStyle="1" w:styleId="apple-style-span">
    <w:name w:val="apple-style-span"/>
    <w:basedOn w:val="Fontepargpadro"/>
    <w:rsid w:val="00C942E4"/>
  </w:style>
  <w:style w:type="character" w:customStyle="1" w:styleId="hps">
    <w:name w:val="hps"/>
    <w:basedOn w:val="Fontepargpadro"/>
    <w:rsid w:val="00C942E4"/>
  </w:style>
  <w:style w:type="character" w:customStyle="1" w:styleId="apple-converted-space">
    <w:name w:val="apple-converted-space"/>
    <w:basedOn w:val="Fontepargpadro"/>
    <w:rsid w:val="00C942E4"/>
  </w:style>
  <w:style w:type="character" w:customStyle="1" w:styleId="atn">
    <w:name w:val="atn"/>
    <w:basedOn w:val="Fontepargpadro"/>
    <w:rsid w:val="00C942E4"/>
  </w:style>
  <w:style w:type="paragraph" w:customStyle="1" w:styleId="BMCLREFERENCE">
    <w:name w:val="BMCL REFERENCE"/>
    <w:basedOn w:val="Normal"/>
    <w:rsid w:val="00D06F1E"/>
    <w:pPr>
      <w:widowControl w:val="0"/>
      <w:tabs>
        <w:tab w:val="left" w:pos="360"/>
      </w:tabs>
      <w:spacing w:line="230" w:lineRule="exact"/>
      <w:jc w:val="both"/>
    </w:pPr>
    <w:rPr>
      <w:sz w:val="20"/>
      <w:szCs w:val="20"/>
    </w:rPr>
  </w:style>
  <w:style w:type="paragraph" w:customStyle="1" w:styleId="BMCLNORMAL">
    <w:name w:val="BMCL NORMAL"/>
    <w:basedOn w:val="Normal"/>
    <w:next w:val="Normal"/>
    <w:rsid w:val="00A7276D"/>
    <w:pPr>
      <w:widowControl w:val="0"/>
      <w:spacing w:line="230" w:lineRule="exact"/>
      <w:jc w:val="both"/>
    </w:pPr>
    <w:rPr>
      <w:sz w:val="21"/>
      <w:szCs w:val="20"/>
    </w:rPr>
  </w:style>
  <w:style w:type="paragraph" w:customStyle="1" w:styleId="BMCLHEADER">
    <w:name w:val="BMCL HEADER"/>
    <w:basedOn w:val="BMCLNORMAL"/>
    <w:next w:val="BMCLNORMAL"/>
    <w:rsid w:val="00A7276D"/>
    <w:pPr>
      <w:jc w:val="center"/>
    </w:pPr>
    <w:rPr>
      <w:b/>
    </w:rPr>
  </w:style>
  <w:style w:type="paragraph" w:customStyle="1" w:styleId="BMCLLEGENDFORSCHEMESFIGURESTABLES">
    <w:name w:val="BMCL LEGEND FOR SCHEMES/FIGURES/TABLES"/>
    <w:basedOn w:val="Normal"/>
    <w:next w:val="Normal"/>
    <w:rsid w:val="00B94DC5"/>
    <w:pPr>
      <w:widowControl w:val="0"/>
      <w:spacing w:line="180" w:lineRule="exact"/>
      <w:jc w:val="both"/>
    </w:pPr>
    <w:rPr>
      <w:sz w:val="16"/>
      <w:szCs w:val="20"/>
    </w:rPr>
  </w:style>
  <w:style w:type="character" w:styleId="Hyperlink">
    <w:name w:val="Hyperlink"/>
    <w:basedOn w:val="Fontepargpadro"/>
    <w:uiPriority w:val="99"/>
    <w:rsid w:val="00B94DC5"/>
    <w:rPr>
      <w:rFonts w:cs="Times New Roman"/>
      <w:color w:val="0000FF"/>
      <w:u w:val="single"/>
    </w:rPr>
  </w:style>
  <w:style w:type="paragraph" w:styleId="Reviso">
    <w:name w:val="Revision"/>
    <w:hidden/>
    <w:uiPriority w:val="99"/>
    <w:semiHidden/>
    <w:rsid w:val="00AB273E"/>
    <w:rPr>
      <w:lang w:val="en-US" w:eastAsia="en-US"/>
    </w:rPr>
  </w:style>
  <w:style w:type="paragraph" w:styleId="Cabealho">
    <w:name w:val="header"/>
    <w:basedOn w:val="Normal"/>
    <w:link w:val="CabealhoChar"/>
    <w:rsid w:val="00AB273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AB273E"/>
    <w:rPr>
      <w:sz w:val="24"/>
      <w:szCs w:val="24"/>
      <w:lang w:val="en-US" w:eastAsia="en-US"/>
    </w:rPr>
  </w:style>
  <w:style w:type="paragraph" w:styleId="Rodap">
    <w:name w:val="footer"/>
    <w:basedOn w:val="Normal"/>
    <w:link w:val="RodapChar"/>
    <w:rsid w:val="00AB273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AB273E"/>
    <w:rPr>
      <w:sz w:val="24"/>
      <w:szCs w:val="24"/>
      <w:lang w:val="en-US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oZmL7yz6cbMnriIAmkK7D4dxFA==">CgMxLjA4AHIhMW1BS1JzeE05NWxMNFJpWXdfNTRJRlJlWGZHRTlFM0dx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2299</Words>
  <Characters>12417</Characters>
  <Application>Microsoft Office Word</Application>
  <DocSecurity>0</DocSecurity>
  <Lines>103</Lines>
  <Paragraphs>29</Paragraphs>
  <ScaleCrop>false</ScaleCrop>
  <Company/>
  <LinksUpToDate>false</LinksUpToDate>
  <CharactersWithSpaces>14687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C. F. Soares</dc:creator>
  <cp:lastModifiedBy>Luiz Fernando Costa Silva</cp:lastModifiedBy>
  <cp:revision>2</cp:revision>
  <dcterms:created xsi:type="dcterms:W3CDTF">2011-09-19T14:14:00Z</dcterms:created>
  <dcterms:modified xsi:type="dcterms:W3CDTF">2026-09-28T20:45:00Z</dcterms:modified>
</cp:coreProperties>
</file>