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yces4fp7v3fl" w:id="0"/>
      <w:bookmarkEnd w:id="0"/>
      <w:r w:rsidDel="00000000" w:rsidR="00000000" w:rsidRPr="00000000">
        <w:rPr>
          <w:rtl w:val="0"/>
        </w:rPr>
        <w:t xml:space="preserve">O Estado da Inteligência Artificial em 2026: Uma Análise Sistêmica da Integração e Autonomia</w:t>
      </w:r>
    </w:p>
    <w:p w:rsidR="00000000" w:rsidDel="00000000" w:rsidP="00000000" w:rsidRDefault="00000000" w:rsidRPr="00000000" w14:paraId="00000002">
      <w:pPr>
        <w:rPr/>
      </w:pPr>
      <w:r w:rsidDel="00000000" w:rsidR="00000000" w:rsidRPr="00000000">
        <w:rPr>
          <w:rtl w:val="0"/>
        </w:rPr>
        <w:t xml:space="preserve">O ano de 2026 consolidou-se como o ponto de inflexão onde a Inteligência Artificial (IA) deixou de ser um acessório reativo para se tornar a  </w:t>
      </w:r>
      <w:r w:rsidDel="00000000" w:rsidR="00000000" w:rsidRPr="00000000">
        <w:rPr>
          <w:b w:val="1"/>
          <w:bCs w:val="1"/>
          <w:rtl w:val="0"/>
        </w:rPr>
        <w:t xml:space="preserve">camada lógica primária</w:t>
      </w:r>
      <w:r w:rsidDel="00000000" w:rsidR="00000000" w:rsidRPr="00000000">
        <w:rPr>
          <w:rtl w:val="0"/>
        </w:rPr>
        <w:t xml:space="preserve">  dos sistemas operacionais. Superamos a fase das interfaces de chat isoladas em favor de uma  </w:t>
      </w:r>
      <w:r w:rsidDel="00000000" w:rsidR="00000000" w:rsidRPr="00000000">
        <w:rPr>
          <w:b w:val="1"/>
          <w:bCs w:val="1"/>
          <w:rtl w:val="0"/>
        </w:rPr>
        <w:t xml:space="preserve">integração sistêmica</w:t>
      </w:r>
      <w:r w:rsidDel="00000000" w:rsidR="00000000" w:rsidRPr="00000000">
        <w:rPr>
          <w:rtl w:val="0"/>
        </w:rPr>
        <w:t xml:space="preserve">  profunda, onde a IA opera como um substrato proativo que antecipa fluxos de trabalho e orquestra processos complexos. Esta transição para a "Era Agêntica" é um imperativo estratégico para a soberania digital e a eficiência corporativa; organizações que falham em converter essa inteligência em autonomia operacional enfrentam uma obsolescência acelerada. A inteligência integrada agora define o sucesso no nível do kernel, reconfigurando fundamentalmente o mercado global de dispositivos.</w:t>
      </w:r>
    </w:p>
    <w:p w:rsidR="00000000" w:rsidDel="00000000" w:rsidP="00000000" w:rsidRDefault="00000000" w:rsidRPr="00000000" w14:paraId="00000003">
      <w:pPr>
        <w:pStyle w:val="Heading4"/>
        <w:rPr/>
      </w:pPr>
      <w:bookmarkStart w:colFirst="0" w:colLast="0" w:name="_rajxzdkzjs1i" w:id="1"/>
      <w:bookmarkEnd w:id="1"/>
      <w:r w:rsidDel="00000000" w:rsidR="00000000" w:rsidRPr="00000000">
        <w:rPr>
          <w:rtl w:val="0"/>
        </w:rPr>
        <w:t xml:space="preserve">1. A Reconfiguração do Ecossistema Móvel: Apple, Google e o Declínio do Copilot</w:t>
      </w:r>
    </w:p>
    <w:p w:rsidR="00000000" w:rsidDel="00000000" w:rsidP="00000000" w:rsidRDefault="00000000" w:rsidRPr="00000000" w14:paraId="00000004">
      <w:pPr>
        <w:rPr/>
      </w:pPr>
      <w:r w:rsidDel="00000000" w:rsidR="00000000" w:rsidRPr="00000000">
        <w:rPr>
          <w:rtl w:val="0"/>
        </w:rPr>
        <w:t xml:space="preserve">Em 2026, a dominância no setor móvel não é mais uma questão de hardware, mas de integração no nível do Kernel e do Sistema Operacional (SO). A parceria estratégica entre Apple e Google representa uma "capitulação tática" necessária: a Apple cedeu a camada de LLM (Large Language Model) para preservar seu ecossistema de privacidade e hardware. Ao integrar o Gemini como base para a Siri agêntica, a Apple permitiu que o assistente compreenda o contexto em tela e execute ações cross-app, criando um fosso técnico de "Universal Context".</w:t>
      </w:r>
    </w:p>
    <w:p w:rsidR="00000000" w:rsidDel="00000000" w:rsidP="00000000" w:rsidRDefault="00000000" w:rsidRPr="00000000" w14:paraId="00000005">
      <w:pPr>
        <w:pStyle w:val="Heading5"/>
        <w:rPr/>
      </w:pPr>
      <w:bookmarkStart w:colFirst="0" w:colLast="0" w:name="_m1b5g9lt3rag" w:id="2"/>
      <w:bookmarkEnd w:id="2"/>
      <w:r w:rsidDel="00000000" w:rsidR="00000000" w:rsidRPr="00000000">
        <w:rPr>
          <w:rtl w:val="0"/>
        </w:rPr>
        <w:t xml:space="preserve">Matriz de Inteligência Móvel (2026)</w:t>
      </w:r>
    </w:p>
    <w:p w:rsidR="00000000" w:rsidDel="00000000" w:rsidP="00000000" w:rsidRDefault="00000000" w:rsidRPr="00000000" w14:paraId="00000006">
      <w:pPr>
        <w:rPr/>
      </w:pPr>
      <w:r w:rsidDel="00000000" w:rsidR="00000000" w:rsidRPr="00000000">
        <w:rPr>
          <w:rtl w:val="0"/>
        </w:rPr>
        <w:t xml:space="preserve">Empresa,Estratégia de IA Móvel,Infraestrutura Primária,Vantagem Arquitetural / Risco Estratégico</w:t>
      </w:r>
    </w:p>
    <w:p w:rsidR="00000000" w:rsidDel="00000000" w:rsidP="00000000" w:rsidRDefault="00000000" w:rsidRPr="00000000" w14:paraId="00000007">
      <w:pPr>
        <w:rPr/>
      </w:pPr>
      <w:r w:rsidDel="00000000" w:rsidR="00000000" w:rsidRPr="00000000">
        <w:rPr>
          <w:rtl w:val="0"/>
        </w:rPr>
        <w:t xml:space="preserve">Apple,Modelo Híbrido (Apple Foundation + Gemini),On-device + Private Cloud Compute,Vantagem:  Moat de privacidade e controle de contexto em tela.</w:t>
      </w:r>
    </w:p>
    <w:p w:rsidR="00000000" w:rsidDel="00000000" w:rsidP="00000000" w:rsidRDefault="00000000" w:rsidRPr="00000000" w14:paraId="00000008">
      <w:pPr>
        <w:rPr/>
      </w:pPr>
      <w:r w:rsidDel="00000000" w:rsidR="00000000" w:rsidRPr="00000000">
        <w:rPr>
          <w:rtl w:val="0"/>
        </w:rPr>
        <w:t xml:space="preserve">Google,Integração Vertical (Gemini 3.1),Google Cloud + Ecossistema Android,Vantagem:  Dominância absoluta e Alphabet avaliada em US$ 4 trilhões.</w:t>
      </w:r>
    </w:p>
    <w:p w:rsidR="00000000" w:rsidDel="00000000" w:rsidP="00000000" w:rsidRDefault="00000000" w:rsidRPr="00000000" w14:paraId="00000009">
      <w:pPr>
        <w:rPr/>
      </w:pPr>
      <w:r w:rsidDel="00000000" w:rsidR="00000000" w:rsidRPr="00000000">
        <w:rPr>
          <w:rtl w:val="0"/>
        </w:rPr>
        <w:t xml:space="preserve">Microsoft,Foco em PC / Windows Agêntico,Azure + Transição In-house,Risco:  Atrito sistêmico pela ausência de um substrato móvel nativo.</w:t>
      </w:r>
    </w:p>
    <w:p w:rsidR="00000000" w:rsidDel="00000000" w:rsidP="00000000" w:rsidRDefault="00000000" w:rsidRPr="00000000" w14:paraId="0000000A">
      <w:pPr>
        <w:rPr/>
      </w:pPr>
      <w:r w:rsidDel="00000000" w:rsidR="00000000" w:rsidRPr="00000000">
        <w:rPr>
          <w:rtl w:val="0"/>
        </w:rPr>
        <w:t xml:space="preserve">O cenário é particularmente severo para a Microsoft. O erro histórico de abandonar o espaço móvel impediu que o Copilot gerasse o engajamento orgânico necessário. Enquanto a Alphabet ultrapassou a avaliação de  </w:t>
      </w:r>
      <w:r w:rsidDel="00000000" w:rsidR="00000000" w:rsidRPr="00000000">
        <w:rPr>
          <w:b w:val="1"/>
          <w:bCs w:val="1"/>
          <w:rtl w:val="0"/>
        </w:rPr>
        <w:t xml:space="preserve">US$ 4 trilhões</w:t>
      </w:r>
      <w:r w:rsidDel="00000000" w:rsidR="00000000" w:rsidRPr="00000000">
        <w:rPr>
          <w:rtl w:val="0"/>
        </w:rPr>
        <w:t xml:space="preserve">  — impulsionada pelo acordo de distribuição massiva no iOS —, a Microsoft enfrenta resistência e queda de engajamento no "Windows Agêntico" devido a fricções de privacidade. Essa inteligência integrada nos dispositivos é o que alimenta a produtividade do trabalhador de conhecimento moderno.</w:t>
      </w:r>
    </w:p>
    <w:p w:rsidR="00000000" w:rsidDel="00000000" w:rsidP="00000000" w:rsidRDefault="00000000" w:rsidRPr="00000000" w14:paraId="0000000B">
      <w:pPr>
        <w:pStyle w:val="Heading4"/>
        <w:rPr/>
      </w:pPr>
      <w:bookmarkStart w:colFirst="0" w:colLast="0" w:name="_8qzmems0ty92" w:id="3"/>
      <w:bookmarkEnd w:id="3"/>
      <w:r w:rsidDel="00000000" w:rsidR="00000000" w:rsidRPr="00000000">
        <w:rPr>
          <w:rtl w:val="0"/>
        </w:rPr>
        <w:t xml:space="preserve">2. Produtividade Profissional: LLMs Especializados e Gestão de Fluxo</w:t>
      </w:r>
    </w:p>
    <w:p w:rsidR="00000000" w:rsidDel="00000000" w:rsidP="00000000" w:rsidRDefault="00000000" w:rsidRPr="00000000" w14:paraId="0000000C">
      <w:pPr>
        <w:rPr/>
      </w:pPr>
      <w:r w:rsidDel="00000000" w:rsidR="00000000" w:rsidRPr="00000000">
        <w:rPr>
          <w:rtl w:val="0"/>
        </w:rPr>
        <w:t xml:space="preserve">A maturidade do mercado de LLMs em 2026 prioriza a redução de fricção e a soberania de dados. A escolha de ferramentas baseia-se na profundidade do contexto histórico e na interoperabilidade agêntica, não apenas na capacidade generativa bruta.</w:t>
      </w:r>
    </w:p>
    <w:p w:rsidR="00000000" w:rsidDel="00000000" w:rsidP="00000000" w:rsidRDefault="00000000" w:rsidRPr="00000000" w14:paraId="0000000D">
      <w:pPr>
        <w:pStyle w:val="Heading5"/>
        <w:rPr/>
      </w:pPr>
      <w:bookmarkStart w:colFirst="0" w:colLast="0" w:name="_jzg00j21t0eq" w:id="4"/>
      <w:bookmarkEnd w:id="4"/>
      <w:r w:rsidDel="00000000" w:rsidR="00000000" w:rsidRPr="00000000">
        <w:rPr>
          <w:rtl w:val="0"/>
        </w:rPr>
        <w:t xml:space="preserve">Diferenciação Técnica de Ecossistemas</w:t>
      </w:r>
    </w:p>
    <w:p w:rsidR="00000000" w:rsidDel="00000000" w:rsidP="00000000" w:rsidRDefault="00000000" w:rsidRPr="00000000" w14:paraId="0000000E">
      <w:pPr>
        <w:numPr>
          <w:ilvl w:val="0"/>
          <w:numId w:val="5"/>
        </w:numPr>
        <w:ind w:left="720" w:hanging="360"/>
        <w:rPr>
          <w:u w:val="none"/>
        </w:rPr>
      </w:pPr>
      <w:r w:rsidDel="00000000" w:rsidR="00000000" w:rsidRPr="00000000">
        <w:rPr>
          <w:b w:val="1"/>
          <w:bCs w:val="1"/>
          <w:rtl w:val="0"/>
        </w:rPr>
        <w:t xml:space="preserve">ChatGPT (OpenAI):</w:t>
      </w:r>
      <w:r w:rsidDel="00000000" w:rsidR="00000000" w:rsidRPr="00000000">
        <w:rPr>
          <w:rtl w:val="0"/>
        </w:rPr>
        <w:t xml:space="preserve">  Permanece como o padrão de versatilidade para tarefas de conhecimento misto e busca web avançada.</w:t>
      </w:r>
    </w:p>
    <w:p w:rsidR="00000000" w:rsidDel="00000000" w:rsidP="00000000" w:rsidRDefault="00000000" w:rsidRPr="00000000" w14:paraId="0000000F">
      <w:pPr>
        <w:numPr>
          <w:ilvl w:val="0"/>
          <w:numId w:val="5"/>
        </w:numPr>
        <w:ind w:left="720" w:hanging="360"/>
        <w:rPr>
          <w:u w:val="none"/>
        </w:rPr>
      </w:pPr>
      <w:r w:rsidDel="00000000" w:rsidR="00000000" w:rsidRPr="00000000">
        <w:rPr>
          <w:b w:val="1"/>
          <w:bCs w:val="1"/>
          <w:rtl w:val="0"/>
        </w:rPr>
        <w:t xml:space="preserve">Claude (Anthropic):</w:t>
      </w:r>
      <w:r w:rsidDel="00000000" w:rsidR="00000000" w:rsidRPr="00000000">
        <w:rPr>
          <w:rtl w:val="0"/>
        </w:rPr>
        <w:t xml:space="preserve">  Consolidado como o motor de raciocínio de alta fidelidade. Suas janelas de contexto estendidas e arquitetura de segurança o tornam o padrão para revisão de contratos e síntese documental complexa.</w:t>
      </w:r>
    </w:p>
    <w:p w:rsidR="00000000" w:rsidDel="00000000" w:rsidP="00000000" w:rsidRDefault="00000000" w:rsidRPr="00000000" w14:paraId="00000010">
      <w:pPr>
        <w:numPr>
          <w:ilvl w:val="0"/>
          <w:numId w:val="5"/>
        </w:numPr>
        <w:ind w:left="720" w:hanging="360"/>
        <w:rPr>
          <w:u w:val="none"/>
        </w:rPr>
      </w:pPr>
      <w:r w:rsidDel="00000000" w:rsidR="00000000" w:rsidRPr="00000000">
        <w:rPr>
          <w:b w:val="1"/>
          <w:bCs w:val="1"/>
          <w:rtl w:val="0"/>
        </w:rPr>
        <w:t xml:space="preserve">Jasper:</w:t>
      </w:r>
      <w:r w:rsidDel="00000000" w:rsidR="00000000" w:rsidRPr="00000000">
        <w:rPr>
          <w:rtl w:val="0"/>
        </w:rPr>
        <w:t xml:space="preserve">  Especializado na consistência de voz de marca, essencial para a integridade de marketing em escala.No âmbito das comunicações, ferramentas como  </w:t>
      </w:r>
      <w:r w:rsidDel="00000000" w:rsidR="00000000" w:rsidRPr="00000000">
        <w:rPr>
          <w:b w:val="1"/>
          <w:bCs w:val="1"/>
          <w:rtl w:val="0"/>
        </w:rPr>
        <w:t xml:space="preserve">Gmelius</w:t>
      </w:r>
      <w:r w:rsidDel="00000000" w:rsidR="00000000" w:rsidRPr="00000000">
        <w:rPr>
          <w:rtl w:val="0"/>
        </w:rPr>
        <w:t xml:space="preserve">  (através do assistente nativo  </w:t>
      </w:r>
      <w:r w:rsidDel="00000000" w:rsidR="00000000" w:rsidRPr="00000000">
        <w:rPr>
          <w:b w:val="1"/>
          <w:bCs w:val="1"/>
          <w:rtl w:val="0"/>
        </w:rPr>
        <w:t xml:space="preserve">Meli</w:t>
      </w:r>
      <w:r w:rsidDel="00000000" w:rsidR="00000000" w:rsidRPr="00000000">
        <w:rPr>
          <w:rtl w:val="0"/>
        </w:rPr>
        <w:t xml:space="preserve"> ) e  </w:t>
      </w:r>
      <w:r w:rsidDel="00000000" w:rsidR="00000000" w:rsidRPr="00000000">
        <w:rPr>
          <w:b w:val="1"/>
          <w:bCs w:val="1"/>
          <w:rtl w:val="0"/>
        </w:rPr>
        <w:t xml:space="preserve">Superhuman</w:t>
      </w:r>
      <w:r w:rsidDel="00000000" w:rsidR="00000000" w:rsidRPr="00000000">
        <w:rPr>
          <w:rtl w:val="0"/>
        </w:rPr>
        <w:t xml:space="preserve">  são fundamentais na recuperação de tempo. O Gmelius destaca-se por transformar o Gmail em uma camada de colaboração inteligente, enquanto o Superhuman foca na latência mínima e triagem preditiva. Implementações eficazes permitem que profissionais  </w:t>
      </w:r>
      <w:r w:rsidDel="00000000" w:rsidR="00000000" w:rsidRPr="00000000">
        <w:rPr>
          <w:b w:val="1"/>
          <w:bCs w:val="1"/>
          <w:rtl w:val="0"/>
        </w:rPr>
        <w:t xml:space="preserve">recuperem até 1 hora de tempo produtivo por dia</w:t>
      </w:r>
      <w:r w:rsidDel="00000000" w:rsidR="00000000" w:rsidRPr="00000000">
        <w:rPr>
          <w:rtl w:val="0"/>
        </w:rPr>
        <w:t xml:space="preserve"> . Contudo, a produtividade textual é apenas o prelúdio para a automação completa via agentes autônomos.</w:t>
      </w:r>
    </w:p>
    <w:p w:rsidR="00000000" w:rsidDel="00000000" w:rsidP="00000000" w:rsidRDefault="00000000" w:rsidRPr="00000000" w14:paraId="00000011">
      <w:pPr>
        <w:pStyle w:val="Heading4"/>
        <w:rPr/>
      </w:pPr>
      <w:bookmarkStart w:colFirst="0" w:colLast="0" w:name="_n39j3fmkdkk" w:id="5"/>
      <w:bookmarkEnd w:id="5"/>
      <w:r w:rsidDel="00000000" w:rsidR="00000000" w:rsidRPr="00000000">
        <w:rPr>
          <w:rtl w:val="0"/>
        </w:rPr>
        <w:t xml:space="preserve">3. A Ascensão dos Agentes Autônomos e Orquestração Setorial</w:t>
      </w:r>
    </w:p>
    <w:p w:rsidR="00000000" w:rsidDel="00000000" w:rsidP="00000000" w:rsidRDefault="00000000" w:rsidRPr="00000000" w14:paraId="00000012">
      <w:pPr>
        <w:rPr/>
      </w:pPr>
      <w:r w:rsidDel="00000000" w:rsidR="00000000" w:rsidRPr="00000000">
        <w:rPr>
          <w:rtl w:val="0"/>
        </w:rPr>
        <w:t xml:space="preserve">A distinção técnica em 2026 é clara: um "Assistente" reage; um  </w:t>
      </w:r>
      <w:r w:rsidDel="00000000" w:rsidR="00000000" w:rsidRPr="00000000">
        <w:rPr>
          <w:b w:val="1"/>
          <w:bCs w:val="1"/>
          <w:rtl w:val="0"/>
        </w:rPr>
        <w:t xml:space="preserve">"Agente"</w:t>
      </w:r>
      <w:r w:rsidDel="00000000" w:rsidR="00000000" w:rsidRPr="00000000">
        <w:rPr>
          <w:rtl w:val="0"/>
        </w:rPr>
        <w:t xml:space="preserve">  executa. Agentes autônomos possuem capacidade de execução  </w:t>
      </w:r>
      <w:r w:rsidDel="00000000" w:rsidR="00000000" w:rsidRPr="00000000">
        <w:rPr>
          <w:i w:val="1"/>
          <w:iCs w:val="1"/>
          <w:rtl w:val="0"/>
        </w:rPr>
        <w:t xml:space="preserve">end-to-end</w:t>
      </w:r>
      <w:r w:rsidDel="00000000" w:rsidR="00000000" w:rsidRPr="00000000">
        <w:rPr>
          <w:rtl w:val="0"/>
        </w:rPr>
        <w:t xml:space="preserve">  sem supervisão humana constante, decompondo metas complexas em sub-rotinas lógicas.</w:t>
      </w:r>
    </w:p>
    <w:p w:rsidR="00000000" w:rsidDel="00000000" w:rsidP="00000000" w:rsidRDefault="00000000" w:rsidRPr="00000000" w14:paraId="00000013">
      <w:pPr>
        <w:pStyle w:val="Heading5"/>
        <w:rPr/>
      </w:pPr>
      <w:bookmarkStart w:colFirst="0" w:colLast="0" w:name="_zjq4p32ial" w:id="6"/>
      <w:bookmarkEnd w:id="6"/>
      <w:r w:rsidDel="00000000" w:rsidR="00000000" w:rsidRPr="00000000">
        <w:rPr>
          <w:rtl w:val="0"/>
        </w:rPr>
        <w:t xml:space="preserve">Verticalização Setorial e Performance</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Medicina:</w:t>
      </w:r>
      <w:r w:rsidDel="00000000" w:rsidR="00000000" w:rsidRPr="00000000">
        <w:rPr>
          <w:rtl w:val="0"/>
        </w:rPr>
        <w:t xml:space="preserve">  Agentes realizam análises preditivas de arquivos clínicos, gerando um aumento de  </w:t>
      </w:r>
      <w:r w:rsidDel="00000000" w:rsidR="00000000" w:rsidRPr="00000000">
        <w:rPr>
          <w:b w:val="1"/>
          <w:bCs w:val="1"/>
          <w:rtl w:val="0"/>
        </w:rPr>
        <w:t xml:space="preserve">30% na precisão</w:t>
      </w:r>
      <w:r w:rsidDel="00000000" w:rsidR="00000000" w:rsidRPr="00000000">
        <w:rPr>
          <w:rtl w:val="0"/>
        </w:rPr>
        <w:t xml:space="preserve">  diagnóstica e reduzindo em 30% o volume de consultas de triagem.</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Direito:</w:t>
      </w:r>
      <w:r w:rsidDel="00000000" w:rsidR="00000000" w:rsidRPr="00000000">
        <w:rPr>
          <w:rtl w:val="0"/>
        </w:rPr>
        <w:t xml:space="preserve">  Extração automatizada de jurisprudência e análise de  </w:t>
      </w:r>
      <w:r w:rsidDel="00000000" w:rsidR="00000000" w:rsidRPr="00000000">
        <w:rPr>
          <w:i w:val="1"/>
          <w:iCs w:val="1"/>
          <w:rtl w:val="0"/>
        </w:rPr>
        <w:t xml:space="preserve">due diligence</w:t>
      </w:r>
      <w:r w:rsidDel="00000000" w:rsidR="00000000" w:rsidRPr="00000000">
        <w:rPr>
          <w:rtl w:val="0"/>
        </w:rPr>
        <w:t xml:space="preserve">  em segundos.</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Finanças:</w:t>
      </w:r>
      <w:r w:rsidDel="00000000" w:rsidR="00000000" w:rsidRPr="00000000">
        <w:rPr>
          <w:rtl w:val="0"/>
        </w:rPr>
        <w:t xml:space="preserve">  Detecção de fraudes em tempo real e orquestração de portfólios com base em análise de sentimentos globais.A espinha dorsal dessa automação reside na  </w:t>
      </w:r>
      <w:r w:rsidDel="00000000" w:rsidR="00000000" w:rsidRPr="00000000">
        <w:rPr>
          <w:b w:val="1"/>
          <w:bCs w:val="1"/>
          <w:rtl w:val="0"/>
        </w:rPr>
        <w:t xml:space="preserve">Orquestração Zapier</w:t>
      </w:r>
      <w:r w:rsidDel="00000000" w:rsidR="00000000" w:rsidRPr="00000000">
        <w:rPr>
          <w:rtl w:val="0"/>
        </w:rPr>
        <w:t xml:space="preserve"> , onde os "Zapier Agents" conectam mais de 8.000 aplicativos para criar companheiros de equipe digitais que operam de forma assíncrona. Essa autonomia, no entanto, exige novos frameworks éticos, especialmente em campos criativos.</w:t>
      </w:r>
    </w:p>
    <w:p w:rsidR="00000000" w:rsidDel="00000000" w:rsidP="00000000" w:rsidRDefault="00000000" w:rsidRPr="00000000" w14:paraId="00000017">
      <w:pPr>
        <w:pStyle w:val="Heading4"/>
        <w:rPr/>
      </w:pPr>
      <w:bookmarkStart w:colFirst="0" w:colLast="0" w:name="_9u0irtozfqhp" w:id="7"/>
      <w:bookmarkEnd w:id="7"/>
      <w:r w:rsidDel="00000000" w:rsidR="00000000" w:rsidRPr="00000000">
        <w:rPr>
          <w:rtl w:val="0"/>
        </w:rPr>
        <w:t xml:space="preserve">4. Fronteira Criativa: Vídeo, Música e Governança Ética</w:t>
      </w:r>
    </w:p>
    <w:p w:rsidR="00000000" w:rsidDel="00000000" w:rsidP="00000000" w:rsidRDefault="00000000" w:rsidRPr="00000000" w14:paraId="00000018">
      <w:pPr>
        <w:rPr/>
      </w:pPr>
      <w:r w:rsidDel="00000000" w:rsidR="00000000" w:rsidRPr="00000000">
        <w:rPr>
          <w:rtl w:val="0"/>
        </w:rPr>
        <w:t xml:space="preserve">A democratização da produção audiovisual atingiu o estado da arte com modelos de alta fidelidade, mas a viabilidade comercial agora depende de estruturas de governança e proteção de direitos autorais.</w:t>
      </w:r>
    </w:p>
    <w:p w:rsidR="00000000" w:rsidDel="00000000" w:rsidP="00000000" w:rsidRDefault="00000000" w:rsidRPr="00000000" w14:paraId="00000019">
      <w:pPr>
        <w:pStyle w:val="Heading5"/>
        <w:rPr/>
      </w:pPr>
      <w:bookmarkStart w:colFirst="0" w:colLast="0" w:name="_kuiq2cnoc0o" w:id="8"/>
      <w:bookmarkEnd w:id="8"/>
      <w:r w:rsidDel="00000000" w:rsidR="00000000" w:rsidRPr="00000000">
        <w:rPr>
          <w:rtl w:val="0"/>
        </w:rPr>
        <w:t xml:space="preserve">Estado da Arte em Vídeo (2026)</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Kling 3.0:</w:t>
      </w:r>
      <w:r w:rsidDel="00000000" w:rsidR="00000000" w:rsidRPr="00000000">
        <w:rPr>
          <w:rtl w:val="0"/>
        </w:rPr>
        <w:t xml:space="preserve">  Lidera com o mecanismo  </w:t>
      </w:r>
      <w:r w:rsidDel="00000000" w:rsidR="00000000" w:rsidRPr="00000000">
        <w:rPr>
          <w:i w:val="1"/>
          <w:iCs w:val="1"/>
          <w:rtl w:val="0"/>
        </w:rPr>
        <w:t xml:space="preserve">Spatial-Temporal Attention</w:t>
      </w:r>
      <w:r w:rsidDel="00000000" w:rsidR="00000000" w:rsidRPr="00000000">
        <w:rPr>
          <w:rtl w:val="0"/>
        </w:rPr>
        <w:t xml:space="preserve"> , simulando física e gravidade com precisão cinematográfica.  </w:t>
      </w:r>
      <w:r w:rsidDel="00000000" w:rsidR="00000000" w:rsidRPr="00000000">
        <w:rPr>
          <w:b w:val="1"/>
          <w:bCs w:val="1"/>
          <w:rtl w:val="0"/>
        </w:rPr>
        <w:t xml:space="preserve">Gargalo:</w:t>
      </w:r>
      <w:r w:rsidDel="00000000" w:rsidR="00000000" w:rsidRPr="00000000">
        <w:rPr>
          <w:rtl w:val="0"/>
        </w:rPr>
        <w:t xml:space="preserve">  Créditos gratuitos limitados a 720p.</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Wan 2.2 / 2.6:</w:t>
      </w:r>
      <w:r w:rsidDel="00000000" w:rsidR="00000000" w:rsidRPr="00000000">
        <w:rPr>
          <w:rtl w:val="0"/>
        </w:rPr>
        <w:t xml:space="preserve">  Arquitetura  </w:t>
      </w:r>
      <w:r w:rsidDel="00000000" w:rsidR="00000000" w:rsidRPr="00000000">
        <w:rPr>
          <w:i w:val="1"/>
          <w:iCs w:val="1"/>
          <w:rtl w:val="0"/>
        </w:rPr>
        <w:t xml:space="preserve">Mixture-of-Experts</w:t>
      </w:r>
      <w:r w:rsidDel="00000000" w:rsidR="00000000" w:rsidRPr="00000000">
        <w:rPr>
          <w:rtl w:val="0"/>
        </w:rPr>
        <w:t xml:space="preserve">  (MoE) em código aberto, permitindo geração de alta velocidade em hardware local.  </w:t>
      </w:r>
      <w:r w:rsidDel="00000000" w:rsidR="00000000" w:rsidRPr="00000000">
        <w:rPr>
          <w:b w:val="1"/>
          <w:bCs w:val="1"/>
          <w:rtl w:val="0"/>
        </w:rPr>
        <w:t xml:space="preserve">Gargalo:</w:t>
      </w:r>
      <w:r w:rsidDel="00000000" w:rsidR="00000000" w:rsidRPr="00000000">
        <w:rPr>
          <w:rtl w:val="0"/>
        </w:rPr>
        <w:t xml:space="preserve">  Limite de 5-6 segundos em camadas gratuitas.</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Google Veo 3.1:</w:t>
      </w:r>
      <w:r w:rsidDel="00000000" w:rsidR="00000000" w:rsidRPr="00000000">
        <w:rPr>
          <w:rtl w:val="0"/>
        </w:rPr>
        <w:t xml:space="preserve">  Referência em sincronização áudio-visual nativa e controle narrativo granular.</w:t>
      </w:r>
    </w:p>
    <w:p w:rsidR="00000000" w:rsidDel="00000000" w:rsidP="00000000" w:rsidRDefault="00000000" w:rsidRPr="00000000" w14:paraId="0000001D">
      <w:pPr>
        <w:pStyle w:val="Heading5"/>
        <w:rPr/>
      </w:pPr>
      <w:bookmarkStart w:colFirst="0" w:colLast="0" w:name="_szgni7p90i6y" w:id="9"/>
      <w:bookmarkEnd w:id="9"/>
      <w:r w:rsidDel="00000000" w:rsidR="00000000" w:rsidRPr="00000000">
        <w:rPr>
          <w:rtl w:val="0"/>
        </w:rPr>
        <w:t xml:space="preserve">Framework de Música Ética (Soundverse v6)</w:t>
      </w:r>
    </w:p>
    <w:p w:rsidR="00000000" w:rsidDel="00000000" w:rsidP="00000000" w:rsidRDefault="00000000" w:rsidRPr="00000000" w14:paraId="0000001E">
      <w:pPr>
        <w:rPr/>
      </w:pPr>
      <w:r w:rsidDel="00000000" w:rsidR="00000000" w:rsidRPr="00000000">
        <w:rPr>
          <w:rtl w:val="0"/>
        </w:rPr>
        <w:t xml:space="preserve">O modelo  </w:t>
      </w:r>
      <w:r w:rsidDel="00000000" w:rsidR="00000000" w:rsidRPr="00000000">
        <w:rPr>
          <w:b w:val="1"/>
          <w:bCs w:val="1"/>
          <w:rtl w:val="0"/>
        </w:rPr>
        <w:t xml:space="preserve">Soundverse</w:t>
      </w:r>
      <w:r w:rsidDel="00000000" w:rsidR="00000000" w:rsidRPr="00000000">
        <w:rPr>
          <w:rtl w:val="0"/>
        </w:rPr>
        <w:t xml:space="preserve">  estabeleceu a infraestrutura de 6 estágios para assegurar a integridade do artista:</w:t>
      </w:r>
    </w:p>
    <w:p w:rsidR="00000000" w:rsidDel="00000000" w:rsidP="00000000" w:rsidRDefault="00000000" w:rsidRPr="00000000" w14:paraId="0000001F">
      <w:pPr>
        <w:numPr>
          <w:ilvl w:val="0"/>
          <w:numId w:val="4"/>
        </w:numPr>
        <w:ind w:left="720" w:hanging="360"/>
        <w:rPr>
          <w:u w:val="none"/>
        </w:rPr>
      </w:pPr>
      <w:r w:rsidDel="00000000" w:rsidR="00000000" w:rsidRPr="00000000">
        <w:rPr>
          <w:b w:val="1"/>
          <w:bCs w:val="1"/>
          <w:rtl w:val="0"/>
        </w:rPr>
        <w:t xml:space="preserve">Dados Licenciados:</w:t>
      </w:r>
      <w:r w:rsidDel="00000000" w:rsidR="00000000" w:rsidRPr="00000000">
        <w:rPr>
          <w:rtl w:val="0"/>
        </w:rPr>
        <w:t xml:space="preserve">  Proibição de  </w:t>
      </w:r>
      <w:r w:rsidDel="00000000" w:rsidR="00000000" w:rsidRPr="00000000">
        <w:rPr>
          <w:i w:val="1"/>
          <w:iCs w:val="1"/>
          <w:rtl w:val="0"/>
        </w:rPr>
        <w:t xml:space="preserve">scraping</w:t>
      </w:r>
      <w:r w:rsidDel="00000000" w:rsidR="00000000" w:rsidRPr="00000000">
        <w:rPr>
          <w:rtl w:val="0"/>
        </w:rPr>
        <w:t xml:space="preserve">  não autorizado.</w:t>
      </w:r>
    </w:p>
    <w:p w:rsidR="00000000" w:rsidDel="00000000" w:rsidP="00000000" w:rsidRDefault="00000000" w:rsidRPr="00000000" w14:paraId="00000020">
      <w:pPr>
        <w:numPr>
          <w:ilvl w:val="0"/>
          <w:numId w:val="4"/>
        </w:numPr>
        <w:ind w:left="720" w:hanging="360"/>
        <w:rPr>
          <w:u w:val="none"/>
        </w:rPr>
      </w:pPr>
      <w:r w:rsidDel="00000000" w:rsidR="00000000" w:rsidRPr="00000000">
        <w:rPr>
          <w:b w:val="1"/>
          <w:bCs w:val="1"/>
          <w:rtl w:val="0"/>
        </w:rPr>
        <w:t xml:space="preserve">Modelos Permissionados (DNA):</w:t>
      </w:r>
      <w:r w:rsidDel="00000000" w:rsidR="00000000" w:rsidRPr="00000000">
        <w:rPr>
          <w:rtl w:val="0"/>
        </w:rPr>
        <w:t xml:space="preserve">  Treinamento apenas em ativos com consentimento explícito.</w:t>
      </w:r>
    </w:p>
    <w:p w:rsidR="00000000" w:rsidDel="00000000" w:rsidP="00000000" w:rsidRDefault="00000000" w:rsidRPr="00000000" w14:paraId="00000021">
      <w:pPr>
        <w:numPr>
          <w:ilvl w:val="0"/>
          <w:numId w:val="4"/>
        </w:numPr>
        <w:ind w:left="720" w:hanging="360"/>
        <w:rPr>
          <w:u w:val="none"/>
        </w:rPr>
      </w:pPr>
      <w:r w:rsidDel="00000000" w:rsidR="00000000" w:rsidRPr="00000000">
        <w:rPr>
          <w:b w:val="1"/>
          <w:bCs w:val="1"/>
          <w:rtl w:val="0"/>
        </w:rPr>
        <w:t xml:space="preserve">Inferência Explicável:</w:t>
      </w:r>
      <w:r w:rsidDel="00000000" w:rsidR="00000000" w:rsidRPr="00000000">
        <w:rPr>
          <w:rtl w:val="0"/>
        </w:rPr>
        <w:t xml:space="preserve">  Rastreabilidade total das fontes de influência no output.</w:t>
      </w:r>
    </w:p>
    <w:p w:rsidR="00000000" w:rsidDel="00000000" w:rsidP="00000000" w:rsidRDefault="00000000" w:rsidRPr="00000000" w14:paraId="00000022">
      <w:pPr>
        <w:numPr>
          <w:ilvl w:val="0"/>
          <w:numId w:val="4"/>
        </w:numPr>
        <w:ind w:left="720" w:hanging="360"/>
        <w:rPr>
          <w:u w:val="none"/>
        </w:rPr>
      </w:pPr>
      <w:r w:rsidDel="00000000" w:rsidR="00000000" w:rsidRPr="00000000">
        <w:rPr>
          <w:b w:val="1"/>
          <w:bCs w:val="1"/>
          <w:rtl w:val="0"/>
        </w:rPr>
        <w:t xml:space="preserve">Exportação Rastreadvel:</w:t>
      </w:r>
      <w:r w:rsidDel="00000000" w:rsidR="00000000" w:rsidRPr="00000000">
        <w:rPr>
          <w:rtl w:val="0"/>
        </w:rPr>
        <w:t xml:space="preserve">  Inserção de marcas d'água ( </w:t>
      </w:r>
      <w:r w:rsidDel="00000000" w:rsidR="00000000" w:rsidRPr="00000000">
        <w:rPr>
          <w:i w:val="1"/>
          <w:iCs w:val="1"/>
          <w:rtl w:val="0"/>
        </w:rPr>
        <w:t xml:space="preserve">watermarking</w:t>
      </w:r>
      <w:r w:rsidDel="00000000" w:rsidR="00000000" w:rsidRPr="00000000">
        <w:rPr>
          <w:rtl w:val="0"/>
        </w:rPr>
        <w:t xml:space="preserve"> ) digitais invisíveis.</w:t>
      </w:r>
    </w:p>
    <w:p w:rsidR="00000000" w:rsidDel="00000000" w:rsidP="00000000" w:rsidRDefault="00000000" w:rsidRPr="00000000" w14:paraId="00000023">
      <w:pPr>
        <w:numPr>
          <w:ilvl w:val="0"/>
          <w:numId w:val="4"/>
        </w:numPr>
        <w:ind w:left="720" w:hanging="360"/>
        <w:rPr>
          <w:u w:val="none"/>
        </w:rPr>
      </w:pPr>
      <w:r w:rsidDel="00000000" w:rsidR="00000000" w:rsidRPr="00000000">
        <w:rPr>
          <w:b w:val="1"/>
          <w:bCs w:val="1"/>
          <w:rtl w:val="0"/>
        </w:rPr>
        <w:t xml:space="preserve">Busca Profunda:</w:t>
      </w:r>
      <w:r w:rsidDel="00000000" w:rsidR="00000000" w:rsidRPr="00000000">
        <w:rPr>
          <w:rtl w:val="0"/>
        </w:rPr>
        <w:t xml:space="preserve">  Varredura externa para identificar cópias não licenciadas.</w:t>
      </w:r>
    </w:p>
    <w:p w:rsidR="00000000" w:rsidDel="00000000" w:rsidP="00000000" w:rsidRDefault="00000000" w:rsidRPr="00000000" w14:paraId="00000024">
      <w:pPr>
        <w:numPr>
          <w:ilvl w:val="0"/>
          <w:numId w:val="4"/>
        </w:numPr>
        <w:ind w:left="720" w:hanging="360"/>
        <w:rPr>
          <w:u w:val="none"/>
        </w:rPr>
      </w:pPr>
      <w:r w:rsidDel="00000000" w:rsidR="00000000" w:rsidRPr="00000000">
        <w:rPr>
          <w:b w:val="1"/>
          <w:bCs w:val="1"/>
          <w:rtl w:val="0"/>
        </w:rPr>
        <w:t xml:space="preserve">Royalties Recorrentes:</w:t>
      </w:r>
      <w:r w:rsidDel="00000000" w:rsidR="00000000" w:rsidRPr="00000000">
        <w:rPr>
          <w:rtl w:val="0"/>
        </w:rPr>
        <w:t xml:space="preserve">  Compensação proporcional automática para os detentores dos dados originais.</w:t>
      </w:r>
    </w:p>
    <w:p w:rsidR="00000000" w:rsidDel="00000000" w:rsidP="00000000" w:rsidRDefault="00000000" w:rsidRPr="00000000" w14:paraId="00000025">
      <w:pPr>
        <w:pStyle w:val="Heading4"/>
        <w:rPr/>
      </w:pPr>
      <w:bookmarkStart w:colFirst="0" w:colLast="0" w:name="_n51n9f5fsl7l" w:id="10"/>
      <w:bookmarkEnd w:id="10"/>
      <w:r w:rsidDel="00000000" w:rsidR="00000000" w:rsidRPr="00000000">
        <w:rPr>
          <w:rtl w:val="0"/>
        </w:rPr>
        <w:t xml:space="preserve">5. Revolução Educacional: O Advento do Hiper-Aprendizado</w:t>
      </w:r>
    </w:p>
    <w:p w:rsidR="00000000" w:rsidDel="00000000" w:rsidP="00000000" w:rsidRDefault="00000000" w:rsidRPr="00000000" w14:paraId="00000026">
      <w:pPr>
        <w:rPr/>
      </w:pPr>
      <w:r w:rsidDel="00000000" w:rsidR="00000000" w:rsidRPr="00000000">
        <w:rPr>
          <w:rtl w:val="0"/>
        </w:rPr>
        <w:t xml:space="preserve">O conceito de  </w:t>
      </w:r>
      <w:r w:rsidDel="00000000" w:rsidR="00000000" w:rsidRPr="00000000">
        <w:rPr>
          <w:b w:val="1"/>
          <w:bCs w:val="1"/>
          <w:rtl w:val="0"/>
        </w:rPr>
        <w:t xml:space="preserve">"Hiper-aprendizado"</w:t>
      </w:r>
      <w:r w:rsidDel="00000000" w:rsidR="00000000" w:rsidRPr="00000000">
        <w:rPr>
          <w:rtl w:val="0"/>
        </w:rPr>
        <w:t xml:space="preserve">  define a educação em 2026, permitindo que instituições atendam alunos em ritmos radicalmente distintos através de tutoria individualizada em escala.</w:t>
      </w:r>
    </w:p>
    <w:p w:rsidR="00000000" w:rsidDel="00000000" w:rsidP="00000000" w:rsidRDefault="00000000" w:rsidRPr="00000000" w14:paraId="00000027">
      <w:pPr>
        <w:pStyle w:val="Heading5"/>
        <w:rPr/>
      </w:pPr>
      <w:bookmarkStart w:colFirst="0" w:colLast="0" w:name="_8y5majs99vsa" w:id="11"/>
      <w:bookmarkEnd w:id="11"/>
      <w:r w:rsidDel="00000000" w:rsidR="00000000" w:rsidRPr="00000000">
        <w:rPr>
          <w:rtl w:val="0"/>
        </w:rPr>
        <w:t xml:space="preserve">Estudo de Caso: Jewish Leadership Academy (JLA)</w:t>
      </w:r>
    </w:p>
    <w:p w:rsidR="00000000" w:rsidDel="00000000" w:rsidP="00000000" w:rsidRDefault="00000000" w:rsidRPr="00000000" w14:paraId="00000028">
      <w:pPr>
        <w:rPr>
          <w:b w:val="1"/>
          <w:bCs w:val="1"/>
        </w:rPr>
      </w:pPr>
      <w:r w:rsidDel="00000000" w:rsidR="00000000" w:rsidRPr="00000000">
        <w:rPr>
          <w:rtl w:val="0"/>
        </w:rPr>
        <w:t xml:space="preserve">A JLA implementou uma infraestrutura híbrida utilizando  </w:t>
      </w:r>
      <w:r w:rsidDel="00000000" w:rsidR="00000000" w:rsidRPr="00000000">
        <w:rPr>
          <w:b w:val="1"/>
          <w:bCs w:val="1"/>
          <w:rtl w:val="0"/>
        </w:rPr>
        <w:t xml:space="preserve">Panopto</w:t>
      </w:r>
      <w:r w:rsidDel="00000000" w:rsidR="00000000" w:rsidRPr="00000000">
        <w:rPr>
          <w:rtl w:val="0"/>
        </w:rPr>
        <w:t xml:space="preserve">  e  </w:t>
      </w:r>
      <w:r w:rsidDel="00000000" w:rsidR="00000000" w:rsidRPr="00000000">
        <w:rPr>
          <w:b w:val="1"/>
          <w:bCs w:val="1"/>
          <w:rtl w:val="0"/>
        </w:rPr>
        <w:t xml:space="preserve">Zoom AI Companion</w:t>
      </w:r>
      <w:r w:rsidDel="00000000" w:rsidR="00000000" w:rsidRPr="00000000">
        <w:rPr>
          <w:rtl w:val="0"/>
        </w:rPr>
        <w:t xml:space="preserve"> , permitindo que aulas sejam capturadas, transcritas e indexadas automaticamente no LMS. Alunos utilizam o  </w:t>
      </w:r>
      <w:r w:rsidDel="00000000" w:rsidR="00000000" w:rsidRPr="00000000">
        <w:rPr>
          <w:b w:val="1"/>
          <w:bCs w:val="1"/>
          <w:rtl w:val="0"/>
        </w:rPr>
        <w:t xml:space="preserve">Flint</w:t>
      </w:r>
      <w:r w:rsidDel="00000000" w:rsidR="00000000" w:rsidRPr="00000000">
        <w:rPr>
          <w:rtl w:val="0"/>
        </w:rPr>
        <w:t xml:space="preserve">  como um tutor pessoal fluente e o  </w:t>
      </w:r>
      <w:r w:rsidDel="00000000" w:rsidR="00000000" w:rsidRPr="00000000">
        <w:rPr>
          <w:b w:val="1"/>
          <w:bCs w:val="1"/>
          <w:rtl w:val="0"/>
        </w:rPr>
        <w:t xml:space="preserve">Brisk Teaching</w:t>
      </w:r>
      <w:r w:rsidDel="00000000" w:rsidR="00000000" w:rsidRPr="00000000">
        <w:rPr>
          <w:rtl w:val="0"/>
        </w:rPr>
        <w:t xml:space="preserve">  para a construção de andaimes ( </w:t>
      </w:r>
      <w:r w:rsidDel="00000000" w:rsidR="00000000" w:rsidRPr="00000000">
        <w:rPr>
          <w:i w:val="1"/>
          <w:iCs w:val="1"/>
          <w:rtl w:val="0"/>
        </w:rPr>
        <w:t xml:space="preserve">scaffolding</w:t>
      </w:r>
      <w:r w:rsidDel="00000000" w:rsidR="00000000" w:rsidRPr="00000000">
        <w:rPr>
          <w:rtl w:val="0"/>
        </w:rPr>
        <w:t xml:space="preserve"> ) pedagógicos personalizados.</w:t>
      </w:r>
      <w:r w:rsidDel="00000000" w:rsidR="00000000" w:rsidRPr="00000000">
        <w:rPr>
          <w:b w:val="1"/>
          <w:bCs w:val="1"/>
          <w:rtl w:val="0"/>
        </w:rPr>
        <w:t xml:space="preserve">Indicadores de Impacto:</w:t>
      </w:r>
    </w:p>
    <w:p w:rsidR="00000000" w:rsidDel="00000000" w:rsidP="00000000" w:rsidRDefault="00000000" w:rsidRPr="00000000" w14:paraId="00000029">
      <w:pPr>
        <w:numPr>
          <w:ilvl w:val="0"/>
          <w:numId w:val="3"/>
        </w:numPr>
        <w:ind w:left="720" w:hanging="360"/>
        <w:rPr>
          <w:u w:val="none"/>
        </w:rPr>
      </w:pPr>
      <w:r w:rsidDel="00000000" w:rsidR="00000000" w:rsidRPr="00000000">
        <w:rPr>
          <w:b w:val="1"/>
          <w:bCs w:val="1"/>
          <w:rtl w:val="0"/>
        </w:rPr>
        <w:t xml:space="preserve">64%</w:t>
      </w:r>
      <w:r w:rsidDel="00000000" w:rsidR="00000000" w:rsidRPr="00000000">
        <w:rPr>
          <w:rtl w:val="0"/>
        </w:rPr>
        <w:t xml:space="preserve">  dos professores relatam melhoria substancial na qualidade dos materiais didáticos.</w:t>
      </w:r>
    </w:p>
    <w:p w:rsidR="00000000" w:rsidDel="00000000" w:rsidP="00000000" w:rsidRDefault="00000000" w:rsidRPr="00000000" w14:paraId="0000002A">
      <w:pPr>
        <w:numPr>
          <w:ilvl w:val="0"/>
          <w:numId w:val="3"/>
        </w:numPr>
        <w:ind w:left="720" w:hanging="360"/>
        <w:rPr>
          <w:u w:val="none"/>
        </w:rPr>
      </w:pPr>
      <w:r w:rsidDel="00000000" w:rsidR="00000000" w:rsidRPr="00000000">
        <w:rPr>
          <w:b w:val="1"/>
          <w:bCs w:val="1"/>
          <w:rtl w:val="0"/>
        </w:rPr>
        <w:t xml:space="preserve">57%</w:t>
      </w:r>
      <w:r w:rsidDel="00000000" w:rsidR="00000000" w:rsidRPr="00000000">
        <w:rPr>
          <w:rtl w:val="0"/>
        </w:rPr>
        <w:t xml:space="preserve">  de melhoria na eficiência e precisão do feedback pedagógico.</w:t>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Redução drástica na carga administrativa, permitindo foco no desenvolvimento socioemocional.</w:t>
      </w:r>
    </w:p>
    <w:p w:rsidR="00000000" w:rsidDel="00000000" w:rsidP="00000000" w:rsidRDefault="00000000" w:rsidRPr="00000000" w14:paraId="0000002C">
      <w:pPr>
        <w:pStyle w:val="Heading4"/>
        <w:rPr/>
      </w:pPr>
      <w:bookmarkStart w:colFirst="0" w:colLast="0" w:name="_is611wgqp3r9" w:id="12"/>
      <w:bookmarkEnd w:id="12"/>
      <w:r w:rsidDel="00000000" w:rsidR="00000000" w:rsidRPr="00000000">
        <w:rPr>
          <w:rtl w:val="0"/>
        </w:rPr>
        <w:t xml:space="preserve">6. Pilares de Implementação: Hardware, Privacidade e ROI</w:t>
      </w:r>
    </w:p>
    <w:p w:rsidR="00000000" w:rsidDel="00000000" w:rsidP="00000000" w:rsidRDefault="00000000" w:rsidRPr="00000000" w14:paraId="0000002D">
      <w:pPr>
        <w:rPr/>
      </w:pPr>
      <w:r w:rsidDel="00000000" w:rsidR="00000000" w:rsidRPr="00000000">
        <w:rPr>
          <w:rtl w:val="0"/>
        </w:rPr>
        <w:t xml:space="preserve">A adoção de IA sem uma estratégia de infraestrutura resulta em um "Gap de Produtividade". Dados da EY indicam que empresas perdem  </w:t>
      </w:r>
      <w:r w:rsidDel="00000000" w:rsidR="00000000" w:rsidRPr="00000000">
        <w:rPr>
          <w:b w:val="1"/>
          <w:bCs w:val="1"/>
          <w:rtl w:val="0"/>
        </w:rPr>
        <w:t xml:space="preserve">40% dos ganhos potenciais</w:t>
      </w:r>
      <w:r w:rsidDel="00000000" w:rsidR="00000000" w:rsidRPr="00000000">
        <w:rPr>
          <w:rtl w:val="0"/>
        </w:rPr>
        <w:t xml:space="preserve">  por falta de treinamento e estratégia de soberania de dados.</w:t>
      </w:r>
    </w:p>
    <w:p w:rsidR="00000000" w:rsidDel="00000000" w:rsidP="00000000" w:rsidRDefault="00000000" w:rsidRPr="00000000" w14:paraId="0000002E">
      <w:pPr>
        <w:pStyle w:val="Heading5"/>
        <w:rPr/>
      </w:pPr>
      <w:bookmarkStart w:colFirst="0" w:colLast="0" w:name="_p85r1rmz06ul" w:id="13"/>
      <w:bookmarkEnd w:id="13"/>
      <w:r w:rsidDel="00000000" w:rsidR="00000000" w:rsidRPr="00000000">
        <w:rPr>
          <w:rtl w:val="0"/>
        </w:rPr>
        <w:t xml:space="preserve">Requisitos de Hardware Local (Soberania de Dados)</w:t>
      </w:r>
    </w:p>
    <w:p w:rsidR="00000000" w:rsidDel="00000000" w:rsidP="00000000" w:rsidRDefault="00000000" w:rsidRPr="00000000" w14:paraId="0000002F">
      <w:pPr>
        <w:rPr/>
      </w:pPr>
      <w:r w:rsidDel="00000000" w:rsidR="00000000" w:rsidRPr="00000000">
        <w:rPr>
          <w:rtl w:val="0"/>
        </w:rPr>
        <w:t xml:space="preserve">Para mitigar riscos de segurança e latência de inferência, o processamento local (On-premise) tornou-se o padrão corporativo.| Componente | Especificação Mínima | Recomendado (MoE / 4K) || ------ | ------ | ------ || </w:t>
      </w:r>
      <w:r w:rsidDel="00000000" w:rsidR="00000000" w:rsidRPr="00000000">
        <w:rPr>
          <w:b w:val="1"/>
          <w:bCs w:val="1"/>
          <w:rtl w:val="0"/>
        </w:rPr>
        <w:t xml:space="preserve">GPU</w:t>
      </w:r>
      <w:r w:rsidDel="00000000" w:rsidR="00000000" w:rsidRPr="00000000">
        <w:rPr>
          <w:rtl w:val="0"/>
        </w:rPr>
        <w:t xml:space="preserve"> | NVIDIA RTX 3080 (12GB VRAM) | </w:t>
      </w:r>
      <w:r w:rsidDel="00000000" w:rsidR="00000000" w:rsidRPr="00000000">
        <w:rPr>
          <w:b w:val="1"/>
          <w:bCs w:val="1"/>
          <w:rtl w:val="0"/>
        </w:rPr>
        <w:t xml:space="preserve">NVIDIA RTX 5090/6090 (24GB+ VRAM)</w:t>
      </w:r>
      <w:r w:rsidDel="00000000" w:rsidR="00000000" w:rsidRPr="00000000">
        <w:rPr>
          <w:rtl w:val="0"/>
        </w:rPr>
        <w:t xml:space="preserve"> || </w:t>
      </w:r>
      <w:r w:rsidDel="00000000" w:rsidR="00000000" w:rsidRPr="00000000">
        <w:rPr>
          <w:b w:val="1"/>
          <w:bCs w:val="1"/>
          <w:rtl w:val="0"/>
        </w:rPr>
        <w:t xml:space="preserve">Armazenamento</w:t>
      </w:r>
      <w:r w:rsidDel="00000000" w:rsidR="00000000" w:rsidRPr="00000000">
        <w:rPr>
          <w:rtl w:val="0"/>
        </w:rPr>
        <w:t xml:space="preserve"> | 100GB SSD | </w:t>
      </w:r>
      <w:r w:rsidDel="00000000" w:rsidR="00000000" w:rsidRPr="00000000">
        <w:rPr>
          <w:b w:val="1"/>
          <w:bCs w:val="1"/>
          <w:rtl w:val="0"/>
        </w:rPr>
        <w:t xml:space="preserve">1TB NVMe</w:t>
      </w:r>
      <w:r w:rsidDel="00000000" w:rsidR="00000000" w:rsidRPr="00000000">
        <w:rPr>
          <w:rtl w:val="0"/>
        </w:rPr>
        <w:t xml:space="preserve">  (para pesos de modelos e RAG) || </w:t>
      </w:r>
      <w:r w:rsidDel="00000000" w:rsidR="00000000" w:rsidRPr="00000000">
        <w:rPr>
          <w:b w:val="1"/>
          <w:bCs w:val="1"/>
          <w:rtl w:val="0"/>
        </w:rPr>
        <w:t xml:space="preserve">Segurança</w:t>
      </w:r>
      <w:r w:rsidDel="00000000" w:rsidR="00000000" w:rsidRPr="00000000">
        <w:rPr>
          <w:rtl w:val="0"/>
        </w:rPr>
        <w:t xml:space="preserve"> | Criptografia Local | Conformidade  </w:t>
      </w:r>
      <w:r w:rsidDel="00000000" w:rsidR="00000000" w:rsidRPr="00000000">
        <w:rPr>
          <w:b w:val="1"/>
          <w:bCs w:val="1"/>
          <w:rtl w:val="0"/>
        </w:rPr>
        <w:t xml:space="preserve">SOC 2 Tipo II</w:t>
      </w:r>
      <w:r w:rsidDel="00000000" w:rsidR="00000000" w:rsidRPr="00000000">
        <w:rPr>
          <w:rtl w:val="0"/>
        </w:rPr>
        <w:t xml:space="preserve">  &amp; Zero-Retention |</w:t>
      </w:r>
    </w:p>
    <w:p w:rsidR="00000000" w:rsidDel="00000000" w:rsidP="00000000" w:rsidRDefault="00000000" w:rsidRPr="00000000" w14:paraId="00000030">
      <w:pPr>
        <w:rPr/>
      </w:pPr>
      <w:r w:rsidDel="00000000" w:rsidR="00000000" w:rsidRPr="00000000">
        <w:rPr>
          <w:rtl w:val="0"/>
        </w:rPr>
        <w:t xml:space="preserve">A conformidade com políticas de "zero-retention" e criptografia de ponta a ponta é inegociável para a proteção da propriedade intelectual.</w:t>
      </w:r>
    </w:p>
    <w:p w:rsidR="00000000" w:rsidDel="00000000" w:rsidP="00000000" w:rsidRDefault="00000000" w:rsidRPr="00000000" w14:paraId="00000031">
      <w:pPr>
        <w:pStyle w:val="Heading4"/>
        <w:rPr/>
      </w:pPr>
      <w:bookmarkStart w:colFirst="0" w:colLast="0" w:name="_j2g1m7r5ki9p" w:id="14"/>
      <w:bookmarkEnd w:id="14"/>
      <w:r w:rsidDel="00000000" w:rsidR="00000000" w:rsidRPr="00000000">
        <w:rPr>
          <w:rtl w:val="0"/>
        </w:rPr>
        <w:t xml:space="preserve">7. Considerações Finais e Veredito Estratégico</w:t>
      </w:r>
    </w:p>
    <w:p w:rsidR="00000000" w:rsidDel="00000000" w:rsidP="00000000" w:rsidRDefault="00000000" w:rsidRPr="00000000" w14:paraId="00000032">
      <w:pPr>
        <w:rPr/>
      </w:pPr>
      <w:r w:rsidDel="00000000" w:rsidR="00000000" w:rsidRPr="00000000">
        <w:rPr>
          <w:rtl w:val="0"/>
        </w:rPr>
        <w:t xml:space="preserve">A análise sistêmica de 2026 demonstra que a Inteligência Artificial não é uma substituição do capital humano, mas a sua ampliação através da delegação de tarefas de baixa densidade cognitiva para agentes autônomos. Navegar neste "rio de bits e bytes" exige mais do que a adoção de ferramentas isoladas; exige visão arquitetural.</w:t>
      </w:r>
      <w:r w:rsidDel="00000000" w:rsidR="00000000" w:rsidRPr="00000000">
        <w:rPr>
          <w:b w:val="1"/>
          <w:bCs w:val="1"/>
          <w:rtl w:val="0"/>
        </w:rPr>
        <w:t xml:space="preserve">Veredito:</w:t>
      </w:r>
      <w:r w:rsidDel="00000000" w:rsidR="00000000" w:rsidRPr="00000000">
        <w:rPr>
          <w:rtl w:val="0"/>
        </w:rPr>
        <w:t xml:space="preserve">  Para evitar a fragmentação de inteligência e o isolamento de dados, as organizações devem adotar uma camada de  </w:t>
      </w:r>
      <w:r w:rsidDel="00000000" w:rsidR="00000000" w:rsidRPr="00000000">
        <w:rPr>
          <w:b w:val="1"/>
          <w:bCs w:val="1"/>
          <w:rtl w:val="0"/>
        </w:rPr>
        <w:t xml:space="preserve">Orquestração de IA</w:t>
      </w:r>
      <w:r w:rsidDel="00000000" w:rsidR="00000000" w:rsidRPr="00000000">
        <w:rPr>
          <w:rtl w:val="0"/>
        </w:rPr>
        <w:t xml:space="preserve">  (como o  </w:t>
      </w:r>
      <w:r w:rsidDel="00000000" w:rsidR="00000000" w:rsidRPr="00000000">
        <w:rPr>
          <w:b w:val="1"/>
          <w:bCs w:val="1"/>
          <w:rtl w:val="0"/>
        </w:rPr>
        <w:t xml:space="preserve">Atlas Cloud</w:t>
      </w:r>
      <w:r w:rsidDel="00000000" w:rsidR="00000000" w:rsidRPr="00000000">
        <w:rPr>
          <w:rtl w:val="0"/>
        </w:rPr>
        <w:t xml:space="preserve">  para infraestrutura de modelos ou o  </w:t>
      </w:r>
      <w:r w:rsidDel="00000000" w:rsidR="00000000" w:rsidRPr="00000000">
        <w:rPr>
          <w:b w:val="1"/>
          <w:bCs w:val="1"/>
          <w:rtl w:val="0"/>
        </w:rPr>
        <w:t xml:space="preserve">Zapier</w:t>
      </w:r>
      <w:r w:rsidDel="00000000" w:rsidR="00000000" w:rsidRPr="00000000">
        <w:rPr>
          <w:rtl w:val="0"/>
        </w:rPr>
        <w:t xml:space="preserve">  para orquestração de operações). O sucesso a longo prazo reside na criação de um ecossistema agêntico centralizado que garanta que a inteligência flua de forma segura, ética e, acima de tudo, proativa.</w:t>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