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41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rte-ii-fundamentos-técnicos-gráficos"/>
    <w:p>
      <w:pPr>
        <w:pStyle w:val="Heading2"/>
      </w:pPr>
      <w:r>
        <w:t xml:space="preserve">Parte II — Fundamentos Técnicos Gráficos</w:t>
      </w:r>
    </w:p>
    <w:bookmarkStart w:id="42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4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4"/>
        </w:numPr>
      </w:pPr>
      <w:r>
        <w:t xml:space="preserve">Aproveitamento de papel</w:t>
      </w:r>
    </w:p>
    <w:p>
      <w:pPr>
        <w:pStyle w:val="Compact"/>
        <w:numPr>
          <w:ilvl w:val="0"/>
          <w:numId w:val="1014"/>
        </w:numPr>
      </w:pPr>
      <w:r>
        <w:t xml:space="preserve">Margens técnicas</w:t>
      </w:r>
    </w:p>
    <w:p>
      <w:pPr>
        <w:pStyle w:val="Compact"/>
        <w:numPr>
          <w:ilvl w:val="0"/>
          <w:numId w:val="1014"/>
        </w:numPr>
      </w:pPr>
      <w:r>
        <w:t xml:space="preserve">Pinça</w:t>
      </w:r>
    </w:p>
    <w:p>
      <w:pPr>
        <w:pStyle w:val="Compact"/>
        <w:numPr>
          <w:ilvl w:val="0"/>
          <w:numId w:val="1014"/>
        </w:numPr>
      </w:pPr>
      <w:r>
        <w:t xml:space="preserve">Sangria</w:t>
      </w:r>
    </w:p>
    <w:p>
      <w:pPr>
        <w:pStyle w:val="Compact"/>
        <w:numPr>
          <w:ilvl w:val="0"/>
          <w:numId w:val="1014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42"/>
    <w:bookmarkStart w:id="43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5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5"/>
        </w:numPr>
      </w:pPr>
      <w:r>
        <w:t xml:space="preserve">Área útil</w:t>
      </w:r>
    </w:p>
    <w:p>
      <w:pPr>
        <w:pStyle w:val="Compact"/>
        <w:numPr>
          <w:ilvl w:val="0"/>
          <w:numId w:val="1015"/>
        </w:numPr>
      </w:pPr>
      <w:r>
        <w:t xml:space="preserve">Margens técnicas</w:t>
      </w:r>
    </w:p>
    <w:p>
      <w:pPr>
        <w:pStyle w:val="Compact"/>
        <w:numPr>
          <w:ilvl w:val="0"/>
          <w:numId w:val="1015"/>
        </w:numPr>
      </w:pPr>
      <w:r>
        <w:t xml:space="preserve">Área de sangria</w:t>
      </w:r>
    </w:p>
    <w:p>
      <w:pPr>
        <w:pStyle w:val="Compact"/>
        <w:numPr>
          <w:ilvl w:val="0"/>
          <w:numId w:val="1015"/>
        </w:numPr>
      </w:pPr>
      <w:r>
        <w:t xml:space="preserve">Área de segurança</w:t>
      </w:r>
    </w:p>
    <w:p>
      <w:pPr>
        <w:pStyle w:val="Compact"/>
        <w:numPr>
          <w:ilvl w:val="0"/>
          <w:numId w:val="1015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45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16"/>
        </w:numPr>
      </w:pPr>
      <w:r>
        <w:t xml:space="preserve">Criação de documento</w:t>
      </w:r>
    </w:p>
    <w:p>
      <w:pPr>
        <w:pStyle w:val="Compact"/>
        <w:numPr>
          <w:ilvl w:val="0"/>
          <w:numId w:val="1016"/>
        </w:numPr>
      </w:pPr>
      <w:r>
        <w:t xml:space="preserve">Configuração de formatos</w:t>
      </w:r>
    </w:p>
    <w:p>
      <w:pPr>
        <w:pStyle w:val="Compact"/>
        <w:numPr>
          <w:ilvl w:val="0"/>
          <w:numId w:val="1016"/>
        </w:numPr>
      </w:pPr>
      <w:r>
        <w:t xml:space="preserve">Margens</w:t>
      </w:r>
    </w:p>
    <w:p>
      <w:pPr>
        <w:pStyle w:val="Compact"/>
        <w:numPr>
          <w:ilvl w:val="0"/>
          <w:numId w:val="1016"/>
        </w:numPr>
      </w:pPr>
      <w:r>
        <w:t xml:space="preserve">Colunas</w:t>
      </w:r>
    </w:p>
    <w:p>
      <w:pPr>
        <w:pStyle w:val="Compact"/>
        <w:numPr>
          <w:ilvl w:val="0"/>
          <w:numId w:val="1016"/>
        </w:numPr>
      </w:pPr>
      <w:r>
        <w:t xml:space="preserve">Sangrias</w:t>
      </w:r>
    </w:p>
    <w:p>
      <w:pPr>
        <w:pStyle w:val="Compact"/>
        <w:numPr>
          <w:ilvl w:val="0"/>
          <w:numId w:val="1016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45"/>
    <w:bookmarkStart w:id="46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17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17"/>
        </w:numPr>
      </w:pPr>
      <w:r>
        <w:t xml:space="preserve">Sistema de guias</w:t>
      </w:r>
    </w:p>
    <w:p>
      <w:pPr>
        <w:pStyle w:val="Compact"/>
        <w:numPr>
          <w:ilvl w:val="0"/>
          <w:numId w:val="1017"/>
        </w:numPr>
      </w:pPr>
      <w:r>
        <w:t xml:space="preserve">Grades</w:t>
      </w:r>
    </w:p>
    <w:p>
      <w:pPr>
        <w:pStyle w:val="Compact"/>
        <w:numPr>
          <w:ilvl w:val="0"/>
          <w:numId w:val="1017"/>
        </w:numPr>
      </w:pPr>
      <w:r>
        <w:t xml:space="preserve">Caixas de texto</w:t>
      </w:r>
    </w:p>
    <w:p>
      <w:pPr>
        <w:pStyle w:val="Compact"/>
        <w:numPr>
          <w:ilvl w:val="0"/>
          <w:numId w:val="1017"/>
        </w:numPr>
      </w:pPr>
      <w:r>
        <w:t xml:space="preserve">Caixas de imagem</w:t>
      </w:r>
    </w:p>
    <w:p>
      <w:pPr>
        <w:pStyle w:val="Compact"/>
        <w:numPr>
          <w:ilvl w:val="0"/>
          <w:numId w:val="1017"/>
        </w:numPr>
      </w:pPr>
      <w:r>
        <w:t xml:space="preserve">Estrutura modular</w:t>
      </w:r>
    </w:p>
    <w:p>
      <w:pPr>
        <w:pStyle w:val="Compact"/>
        <w:numPr>
          <w:ilvl w:val="0"/>
          <w:numId w:val="1017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46"/>
    <w:bookmarkStart w:id="47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18"/>
        </w:numPr>
      </w:pPr>
      <w:r>
        <w:t xml:space="preserve">Posicionamento</w:t>
      </w:r>
    </w:p>
    <w:p>
      <w:pPr>
        <w:pStyle w:val="Compact"/>
        <w:numPr>
          <w:ilvl w:val="0"/>
          <w:numId w:val="1018"/>
        </w:numPr>
      </w:pPr>
      <w:r>
        <w:t xml:space="preserve">Alinhamento</w:t>
      </w:r>
    </w:p>
    <w:p>
      <w:pPr>
        <w:pStyle w:val="Compact"/>
        <w:numPr>
          <w:ilvl w:val="0"/>
          <w:numId w:val="1018"/>
        </w:numPr>
      </w:pPr>
      <w:r>
        <w:t xml:space="preserve">Distribuição</w:t>
      </w:r>
    </w:p>
    <w:p>
      <w:pPr>
        <w:pStyle w:val="Compact"/>
        <w:numPr>
          <w:ilvl w:val="0"/>
          <w:numId w:val="1018"/>
        </w:numPr>
      </w:pPr>
      <w:r>
        <w:t xml:space="preserve">Ancoragem</w:t>
      </w:r>
    </w:p>
    <w:p>
      <w:pPr>
        <w:pStyle w:val="Compact"/>
        <w:numPr>
          <w:ilvl w:val="0"/>
          <w:numId w:val="1018"/>
        </w:numPr>
      </w:pPr>
      <w:r>
        <w:t xml:space="preserve">Simetria e assimetria</w:t>
      </w:r>
    </w:p>
    <w:p>
      <w:pPr>
        <w:pStyle w:val="Compact"/>
        <w:numPr>
          <w:ilvl w:val="0"/>
          <w:numId w:val="1018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rte-iv-imposição-manual-no-indesign"/>
    <w:p>
      <w:pPr>
        <w:pStyle w:val="Heading2"/>
      </w:pPr>
      <w:r>
        <w:t xml:space="preserve">Parte IV — Imposição Manual no InDesign</w:t>
      </w:r>
    </w:p>
    <w:bookmarkStart w:id="49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19"/>
        </w:numPr>
      </w:pPr>
      <w:r>
        <w:t xml:space="preserve">Duplicação de páginas</w:t>
      </w:r>
    </w:p>
    <w:p>
      <w:pPr>
        <w:pStyle w:val="Compact"/>
        <w:numPr>
          <w:ilvl w:val="0"/>
          <w:numId w:val="1019"/>
        </w:numPr>
      </w:pPr>
      <w:r>
        <w:t xml:space="preserve">Organização manual</w:t>
      </w:r>
    </w:p>
    <w:p>
      <w:pPr>
        <w:pStyle w:val="Compact"/>
        <w:numPr>
          <w:ilvl w:val="0"/>
          <w:numId w:val="1019"/>
        </w:numPr>
      </w:pPr>
      <w:r>
        <w:t xml:space="preserve">Uso de páginas-mestre</w:t>
      </w:r>
    </w:p>
    <w:p>
      <w:pPr>
        <w:pStyle w:val="Compact"/>
        <w:numPr>
          <w:ilvl w:val="0"/>
          <w:numId w:val="1019"/>
        </w:numPr>
      </w:pPr>
      <w:r>
        <w:t xml:space="preserve">Transformações</w:t>
      </w:r>
    </w:p>
    <w:p>
      <w:pPr>
        <w:pStyle w:val="Compact"/>
        <w:numPr>
          <w:ilvl w:val="0"/>
          <w:numId w:val="1019"/>
        </w:numPr>
      </w:pPr>
      <w:r>
        <w:t xml:space="preserve">Rotação</w:t>
      </w:r>
    </w:p>
    <w:p>
      <w:pPr>
        <w:pStyle w:val="Compact"/>
        <w:numPr>
          <w:ilvl w:val="0"/>
          <w:numId w:val="1019"/>
        </w:numPr>
      </w:pPr>
      <w:r>
        <w:t xml:space="preserve">Espelhamento</w:t>
      </w:r>
    </w:p>
    <w:p>
      <w:pPr>
        <w:pStyle w:val="Compact"/>
        <w:numPr>
          <w:ilvl w:val="0"/>
          <w:numId w:val="1019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49"/>
    <w:bookmarkStart w:id="50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0"/>
        </w:numPr>
      </w:pPr>
      <w:r>
        <w:t xml:space="preserve">Erros humanos</w:t>
      </w:r>
    </w:p>
    <w:p>
      <w:pPr>
        <w:pStyle w:val="Compact"/>
        <w:numPr>
          <w:ilvl w:val="0"/>
          <w:numId w:val="1020"/>
        </w:numPr>
      </w:pPr>
      <w:r>
        <w:t xml:space="preserve">Escalabilidade</w:t>
      </w:r>
    </w:p>
    <w:p>
      <w:pPr>
        <w:pStyle w:val="Compact"/>
        <w:numPr>
          <w:ilvl w:val="0"/>
          <w:numId w:val="1020"/>
        </w:numPr>
      </w:pPr>
      <w:r>
        <w:t xml:space="preserve">Tempo de produção</w:t>
      </w:r>
    </w:p>
    <w:p>
      <w:pPr>
        <w:pStyle w:val="Compact"/>
        <w:numPr>
          <w:ilvl w:val="0"/>
          <w:numId w:val="1020"/>
        </w:numPr>
      </w:pPr>
      <w:r>
        <w:t xml:space="preserve">Padronização</w:t>
      </w:r>
    </w:p>
    <w:p>
      <w:pPr>
        <w:pStyle w:val="Compact"/>
        <w:numPr>
          <w:ilvl w:val="0"/>
          <w:numId w:val="1020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arte-v-automação-com-extendscript"/>
    <w:p>
      <w:pPr>
        <w:pStyle w:val="Heading2"/>
      </w:pPr>
      <w:r>
        <w:t xml:space="preserve">Parte V — Automação com ExtendScript</w:t>
      </w:r>
    </w:p>
    <w:bookmarkStart w:id="52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1"/>
        </w:numPr>
      </w:pPr>
      <w:r>
        <w:t xml:space="preserve">O que é ExtendScript</w:t>
      </w:r>
    </w:p>
    <w:p>
      <w:pPr>
        <w:pStyle w:val="Compact"/>
        <w:numPr>
          <w:ilvl w:val="0"/>
          <w:numId w:val="1021"/>
        </w:numPr>
      </w:pPr>
      <w:r>
        <w:t xml:space="preserve">Relação com JavaScript</w:t>
      </w:r>
    </w:p>
    <w:p>
      <w:pPr>
        <w:pStyle w:val="Compact"/>
        <w:numPr>
          <w:ilvl w:val="0"/>
          <w:numId w:val="1021"/>
        </w:numPr>
      </w:pPr>
      <w:r>
        <w:t xml:space="preserve">InDesign Scripting DOM</w:t>
      </w:r>
    </w:p>
    <w:p>
      <w:pPr>
        <w:pStyle w:val="Compact"/>
        <w:numPr>
          <w:ilvl w:val="0"/>
          <w:numId w:val="1021"/>
        </w:numPr>
      </w:pPr>
      <w:r>
        <w:t xml:space="preserve">Estrutura básica de script</w:t>
      </w:r>
    </w:p>
    <w:p>
      <w:pPr>
        <w:pStyle w:val="Compact"/>
        <w:numPr>
          <w:ilvl w:val="0"/>
          <w:numId w:val="1021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52"/>
    <w:bookmarkStart w:id="53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2"/>
        </w:numPr>
      </w:pPr>
      <w:r>
        <w:t xml:space="preserve">Pensamento algorítmico</w:t>
      </w:r>
    </w:p>
    <w:p>
      <w:pPr>
        <w:pStyle w:val="Compact"/>
        <w:numPr>
          <w:ilvl w:val="0"/>
          <w:numId w:val="1022"/>
        </w:numPr>
      </w:pPr>
      <w:r>
        <w:t xml:space="preserve">Mapeamento de páginas</w:t>
      </w:r>
    </w:p>
    <w:p>
      <w:pPr>
        <w:pStyle w:val="Compact"/>
        <w:numPr>
          <w:ilvl w:val="0"/>
          <w:numId w:val="1022"/>
        </w:numPr>
      </w:pPr>
      <w:r>
        <w:t xml:space="preserve">Sistemas de coordenadas</w:t>
      </w:r>
    </w:p>
    <w:p>
      <w:pPr>
        <w:pStyle w:val="Compact"/>
        <w:numPr>
          <w:ilvl w:val="0"/>
          <w:numId w:val="1022"/>
        </w:numPr>
      </w:pPr>
      <w:r>
        <w:t xml:space="preserve">Referências de origem</w:t>
      </w:r>
    </w:p>
    <w:p>
      <w:pPr>
        <w:pStyle w:val="Compact"/>
        <w:numPr>
          <w:ilvl w:val="0"/>
          <w:numId w:val="1022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53"/>
    <w:bookmarkStart w:id="54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3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3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3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3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3"/>
        </w:numPr>
      </w:pPr>
      <w:r>
        <w:t xml:space="preserve">Script de posicionamento</w:t>
      </w:r>
    </w:p>
    <w:p>
      <w:pPr>
        <w:pStyle w:val="Compact"/>
        <w:numPr>
          <w:ilvl w:val="0"/>
          <w:numId w:val="1023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54"/>
    <w:bookmarkStart w:id="55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4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4"/>
        </w:numPr>
      </w:pPr>
      <w:r>
        <w:t xml:space="preserve">Imposição em caderno</w:t>
      </w:r>
    </w:p>
    <w:p>
      <w:pPr>
        <w:pStyle w:val="Compact"/>
        <w:numPr>
          <w:ilvl w:val="0"/>
          <w:numId w:val="1024"/>
        </w:numPr>
      </w:pPr>
      <w:r>
        <w:t xml:space="preserve">Imposição em revista</w:t>
      </w:r>
    </w:p>
    <w:p>
      <w:pPr>
        <w:pStyle w:val="Compact"/>
        <w:numPr>
          <w:ilvl w:val="0"/>
          <w:numId w:val="1024"/>
        </w:numPr>
      </w:pPr>
      <w:r>
        <w:t xml:space="preserve">Imposição em livro</w:t>
      </w:r>
    </w:p>
    <w:p>
      <w:pPr>
        <w:pStyle w:val="Compact"/>
        <w:numPr>
          <w:ilvl w:val="0"/>
          <w:numId w:val="1024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arte-vi-sistemas-arquitetura-e-projeto"/>
    <w:p>
      <w:pPr>
        <w:pStyle w:val="Heading2"/>
      </w:pPr>
      <w:r>
        <w:t xml:space="preserve">Parte VI — Sistemas, Arquitetura e Projeto</w:t>
      </w:r>
    </w:p>
    <w:bookmarkStart w:id="57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5"/>
        </w:numPr>
      </w:pPr>
      <w:r>
        <w:t xml:space="preserve">Organização de arquivos</w:t>
      </w:r>
    </w:p>
    <w:p>
      <w:pPr>
        <w:pStyle w:val="Compact"/>
        <w:numPr>
          <w:ilvl w:val="0"/>
          <w:numId w:val="1025"/>
        </w:numPr>
      </w:pPr>
      <w:r>
        <w:t xml:space="preserve">Modularização</w:t>
      </w:r>
    </w:p>
    <w:p>
      <w:pPr>
        <w:pStyle w:val="Compact"/>
        <w:numPr>
          <w:ilvl w:val="0"/>
          <w:numId w:val="1025"/>
        </w:numPr>
      </w:pPr>
      <w:r>
        <w:t xml:space="preserve">Funções reutilizáveis</w:t>
      </w:r>
    </w:p>
    <w:p>
      <w:pPr>
        <w:pStyle w:val="Compact"/>
        <w:numPr>
          <w:ilvl w:val="0"/>
          <w:numId w:val="1025"/>
        </w:numPr>
      </w:pPr>
      <w:r>
        <w:t xml:space="preserve">Padrões de projeto</w:t>
      </w:r>
    </w:p>
    <w:p>
      <w:pPr>
        <w:pStyle w:val="Compact"/>
        <w:numPr>
          <w:ilvl w:val="0"/>
          <w:numId w:val="1025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57"/>
    <w:bookmarkStart w:id="58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26"/>
        </w:numPr>
      </w:pPr>
      <w:r>
        <w:t xml:space="preserve">Definição do problema</w:t>
      </w:r>
    </w:p>
    <w:p>
      <w:pPr>
        <w:pStyle w:val="Compact"/>
        <w:numPr>
          <w:ilvl w:val="0"/>
          <w:numId w:val="1026"/>
        </w:numPr>
      </w:pPr>
      <w:r>
        <w:t xml:space="preserve">Modelagem da solução</w:t>
      </w:r>
    </w:p>
    <w:p>
      <w:pPr>
        <w:pStyle w:val="Compact"/>
        <w:numPr>
          <w:ilvl w:val="0"/>
          <w:numId w:val="1026"/>
        </w:numPr>
      </w:pPr>
      <w:r>
        <w:t xml:space="preserve">Construção do script</w:t>
      </w:r>
    </w:p>
    <w:p>
      <w:pPr>
        <w:pStyle w:val="Compact"/>
        <w:numPr>
          <w:ilvl w:val="0"/>
          <w:numId w:val="1026"/>
        </w:numPr>
      </w:pPr>
      <w:r>
        <w:t xml:space="preserve">Testes</w:t>
      </w:r>
    </w:p>
    <w:p>
      <w:pPr>
        <w:pStyle w:val="Compact"/>
        <w:numPr>
          <w:ilvl w:val="0"/>
          <w:numId w:val="1026"/>
        </w:numPr>
      </w:pPr>
      <w:r>
        <w:t xml:space="preserve">Validação</w:t>
      </w:r>
    </w:p>
    <w:p>
      <w:pPr>
        <w:pStyle w:val="Compact"/>
        <w:numPr>
          <w:ilvl w:val="0"/>
          <w:numId w:val="1026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parte-vii-material-de-apoio"/>
    <w:p>
      <w:pPr>
        <w:pStyle w:val="Heading2"/>
      </w:pPr>
      <w:r>
        <w:t xml:space="preserve">Parte VII — Material de Apoio</w:t>
      </w:r>
    </w:p>
    <w:bookmarkStart w:id="60" w:name="glossário-técnico"/>
    <w:p>
      <w:pPr>
        <w:pStyle w:val="Heading3"/>
      </w:pPr>
      <w:r>
        <w:t xml:space="preserve">Glossário Técnico</w:t>
      </w:r>
    </w:p>
    <w:bookmarkEnd w:id="60"/>
    <w:bookmarkStart w:id="61" w:name="tabelas-técnicas"/>
    <w:p>
      <w:pPr>
        <w:pStyle w:val="Heading3"/>
      </w:pPr>
      <w:r>
        <w:t xml:space="preserve">Tabelas Técnicas</w:t>
      </w:r>
    </w:p>
    <w:bookmarkEnd w:id="61"/>
    <w:bookmarkStart w:id="62" w:name="referências-gráficas"/>
    <w:p>
      <w:pPr>
        <w:pStyle w:val="Heading3"/>
      </w:pPr>
      <w:r>
        <w:t xml:space="preserve">Referências Gráficas</w:t>
      </w:r>
    </w:p>
    <w:bookmarkEnd w:id="62"/>
    <w:bookmarkStart w:id="63" w:name="referências-técnicas"/>
    <w:p>
      <w:pPr>
        <w:pStyle w:val="Heading3"/>
      </w:pPr>
      <w:r>
        <w:t xml:space="preserve">Referências Técnicas</w:t>
      </w:r>
    </w:p>
    <w:bookmarkEnd w:id="63"/>
    <w:bookmarkStart w:id="64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27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27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27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27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2026-01-24T02:19:06Z</dcterms:created>
  <dcterms:modified xsi:type="dcterms:W3CDTF">2026-01-24T02:19:06Z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