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ind w:firstLine="0"/>
        <w:jc w:val="center"/>
      </w:pPr>
      <w:r>
        <w:rPr>
          <w:rFonts w:ascii="Times New Roman" w:hAnsi="Times New Roman"/>
          <w:b/>
          <w:color w:val="000000"/>
          <w:sz w:val="28"/>
        </w:rPr>
        <w:t>Pesquisa sobre APIs e Integrações</w:t>
      </w:r>
    </w:p>
    <w:p>
      <w:pPr>
        <w:pStyle w:val="Heading1"/>
      </w:pPr>
      <w:r>
        <w:t>Introdução</w:t>
      </w:r>
    </w:p>
    <w:p>
      <w:r>
        <w:t>As APIs se tornaram centrais no desenvolvimento moderno porque conectam aplicações, serviços e departamentos que antes operavam de forma isolada (Seth et al., 2024; Addanki, 2025; Ofoeda et al., 2025). Em termos práticos, integração por API é o processo de ligar sistemas para compartilhar dados, operações e funcionalidades, criando soluções ponta a ponta em ambientes corporativos e digitais (Seth et al., 2024; Amer et al., 2026).</w:t>
      </w:r>
    </w:p>
    <w:p>
      <w:r>
        <w:t>Esse modelo ganhou força porque uma única plataforma raramente cobre sozinha todo o processo de negócio, o que torna a integração entre sistemas próprios e de terceiros uma necessidade operacional (Amer et al., 2026; Mehboob, 2025). A literatura também destaca que APIs aceleram desenvolvimento, reduzem reescrita de código e permitem reutilizar serviços existentes com menor custo e maior produtividade (Seth et al., 2024; Efuntade &amp; Efuntade, 2023; Mittapally, 2024).</w:t>
      </w:r>
    </w:p>
    <w:p>
      <w:pPr>
        <w:pStyle w:val="Heading1"/>
      </w:pPr>
      <w:r>
        <w:t>Conceitos</w:t>
      </w:r>
    </w:p>
    <w:p>
      <w:r>
        <w:t>Uma API, ou Application Programming Interface, é um conjunto de regras, funções, rotinas e formatos que permite a comunicação entre diferentes softwares sem expor toda a complexidade interna de cada sistema (Efuntade &amp; Efuntade, 2023; Park et al., 2025; Pawar et al., 2023). Ela funciona como uma camada de abstração: o sistema cliente faz uma requisição em formato padronizado, o sistema servidor processa essa solicitação e devolve uma resposta ou serviço (Park et al., 2025; Mittapally, 2024).</w:t>
      </w:r>
    </w:p>
    <w:p>
      <w:r>
        <w:t>Esse padrão traz interoperabilidade porque o consumidor da API não precisa conhecer a implementação interna do outro sistema para usar seus recursos (Park et al., 2025; Efuntade &amp; Efuntade, 2023). A literatura também descreve a API como um contrato de comunicação, pois ela define os tipos de chamadas, formatos de dados e regras de interação aceitas entre aplicações (Efuntade &amp; Efuntade, 2023; Gaddam, 2025).</w:t>
      </w:r>
    </w:p>
    <w:p>
      <w:pPr>
        <w:pStyle w:val="Heading1"/>
      </w:pPr>
      <w:r>
        <w:t>Tipos</w:t>
      </w:r>
    </w:p>
    <w:p>
      <w:r>
        <w:t>Os estudos distinguem APIs por arquitetura, protocolo e escopo de uso. Uma classificação básica separa in-process APIs, usadas dentro de ambientes locais, e remote APIs, voltadas à comunicação entre sistemas distribuídos e aplicações em nuvem (Efuntade &amp; Efuntade, 2023).</w:t>
      </w:r>
    </w:p>
    <w:p>
      <w:r>
        <w:t>Entre os tipos mais comuns, SOAP é um padrão de mensagens estruturadas em XML, com forte uso corporativo, confiabilidade e adequação a transações complexas, especialmente em setores como finanças e saúde (Efuntade &amp; Efuntade, 2023; Addanki, 2025). REST se consolidou como o estilo mais difundido para APIs web por sua simplicidade, comunicação stateless e alinhamento com HTTP e JSON (Efuntade &amp; Efuntade, 2023; Addanki, 2025; Park et al., 2025).</w:t>
      </w:r>
    </w:p>
    <w:p>
      <w:r>
        <w:t>GraphQL surgiu para lidar melhor com necessidades de consulta complexa e para reduzir over-fetching e under-fetching, permitindo ao cliente pedir exatamente os campos necessários (Addanki, 2025; Tangudu, 2026). gRPC aparece como alternativa de alto desempenho para comunicação interna entre microserviços, usando HTTP/2 e serialização eficiente (Park et al., 2025; Tangudu, 2026).</w:t>
      </w:r>
    </w:p>
    <w:p>
      <w:pPr>
        <w:pStyle w:val="Heading1"/>
      </w:pPr>
      <w:r>
        <w:t>Ferramentas</w:t>
      </w:r>
    </w:p>
    <w:p>
      <w:r>
        <w:t>A literatura trata “ferramentas” tanto como plataformas de integração quanto como componentes arquiteturais. Em ambientes distribuídos, API gateways aparecem de forma recorrente como ponto unificado de entrada, cuidando de autenticação, roteamento, limitação de taxa, tradução de protocolos e adaptação entre clientes e serviços (Mehboob, 2025; Putrevu, 2025). Eles também ajudam a reduzir redundância e a aplicar políticas consistentes em vários serviços (Mehboob, 2025; Mylsamy &amp; Shrivastav, 2025).</w:t>
      </w:r>
    </w:p>
    <w:p>
      <w:r>
        <w:t>Outra frente importante envolve middleware, service mesh, brokers de eventos, orquestração de contêineres e pipelines de teste e integração contínua, todos usados para manter escalabilidade, observabilidade e resiliência (Gaddam, 2025; Mehboob, 2025; Mylsamy &amp; Shrivastav, 2025). Em integração empresarial, MuleSoft é citado como abordagem prática para conectar microserviços e acelerar inovação baseada em APIs (Pavan &amp; Gummadi, 2024).</w:t>
      </w:r>
    </w:p>
    <w:p>
      <w:pPr>
        <w:pageBreakBefore/>
        <w:ind w:firstLine="0"/>
        <w:jc w:val="center"/>
      </w:pPr>
      <w:r>
        <w:rPr>
          <w:b/>
        </w:rPr>
        <w:t>Tabela 1 – Principais ferramentas e componentes citados para integrações baseadas em APIs</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vAlign w:val="center"/>
          </w:tcPr>
          <w:p>
            <w:pPr>
              <w:jc w:val="center"/>
            </w:pPr>
            <w:r>
              <w:rPr>
                <w:rFonts w:ascii="Times New Roman" w:hAnsi="Times New Roman"/>
                <w:b/>
                <w:sz w:val="20"/>
              </w:rPr>
              <w:t>Ferramenta ou componente</w:t>
            </w:r>
          </w:p>
        </w:tc>
        <w:tc>
          <w:tcPr>
            <w:tcW w:type="dxa" w:w="3135"/>
            <w:vAlign w:val="center"/>
          </w:tcPr>
          <w:p>
            <w:pPr>
              <w:jc w:val="center"/>
            </w:pPr>
            <w:r>
              <w:rPr>
                <w:rFonts w:ascii="Times New Roman" w:hAnsi="Times New Roman"/>
                <w:b/>
                <w:sz w:val="20"/>
              </w:rPr>
              <w:t>Função principal</w:t>
            </w:r>
          </w:p>
        </w:tc>
        <w:tc>
          <w:tcPr>
            <w:tcW w:type="dxa" w:w="3135"/>
            <w:vAlign w:val="center"/>
          </w:tcPr>
          <w:p>
            <w:pPr>
              <w:jc w:val="center"/>
            </w:pPr>
            <w:r>
              <w:rPr>
                <w:rFonts w:ascii="Times New Roman" w:hAnsi="Times New Roman"/>
                <w:b/>
                <w:sz w:val="20"/>
              </w:rPr>
              <w:t>Contexto de uso</w:t>
            </w:r>
          </w:p>
        </w:tc>
      </w:tr>
      <w:tr>
        <w:trPr>
          <w:cantSplit/>
        </w:trPr>
        <w:tc>
          <w:tcPr>
            <w:tcW w:type="dxa" w:w="3135"/>
            <w:vAlign w:val="center"/>
          </w:tcPr>
          <w:p>
            <w:pPr>
              <w:jc w:val="left"/>
            </w:pPr>
            <w:r>
              <w:rPr>
                <w:rFonts w:ascii="Times New Roman" w:hAnsi="Times New Roman"/>
                <w:sz w:val="20"/>
              </w:rPr>
              <w:t>API Gateway</w:t>
            </w:r>
          </w:p>
        </w:tc>
        <w:tc>
          <w:tcPr>
            <w:tcW w:type="dxa" w:w="3135"/>
            <w:vAlign w:val="center"/>
          </w:tcPr>
          <w:p>
            <w:pPr>
              <w:jc w:val="left"/>
            </w:pPr>
            <w:r>
              <w:rPr>
                <w:rFonts w:ascii="Times New Roman" w:hAnsi="Times New Roman"/>
                <w:sz w:val="20"/>
              </w:rPr>
              <w:t>Entrada única, segurança, roteamento</w:t>
            </w:r>
          </w:p>
        </w:tc>
        <w:tc>
          <w:tcPr>
            <w:tcW w:type="dxa" w:w="3135"/>
            <w:vAlign w:val="center"/>
          </w:tcPr>
          <w:p>
            <w:pPr>
              <w:jc w:val="left"/>
            </w:pPr>
            <w:r>
              <w:rPr>
                <w:rFonts w:ascii="Times New Roman" w:hAnsi="Times New Roman"/>
                <w:sz w:val="20"/>
              </w:rPr>
              <w:t>Microserviços e integrações externas (Mehboob, 2025)</w:t>
            </w:r>
          </w:p>
        </w:tc>
      </w:tr>
      <w:tr>
        <w:trPr>
          <w:cantSplit/>
        </w:trPr>
        <w:tc>
          <w:tcPr>
            <w:tcW w:type="dxa" w:w="3135"/>
            <w:vAlign w:val="center"/>
          </w:tcPr>
          <w:p>
            <w:pPr>
              <w:jc w:val="left"/>
            </w:pPr>
            <w:r>
              <w:rPr>
                <w:rFonts w:ascii="Times New Roman" w:hAnsi="Times New Roman"/>
                <w:sz w:val="20"/>
              </w:rPr>
              <w:t>Service Mesh</w:t>
            </w:r>
          </w:p>
        </w:tc>
        <w:tc>
          <w:tcPr>
            <w:tcW w:type="dxa" w:w="3135"/>
            <w:vAlign w:val="center"/>
          </w:tcPr>
          <w:p>
            <w:pPr>
              <w:jc w:val="left"/>
            </w:pPr>
            <w:r>
              <w:rPr>
                <w:rFonts w:ascii="Times New Roman" w:hAnsi="Times New Roman"/>
                <w:sz w:val="20"/>
              </w:rPr>
              <w:t>Descoberta de serviços e gestão de tráfego</w:t>
            </w:r>
          </w:p>
        </w:tc>
        <w:tc>
          <w:tcPr>
            <w:tcW w:type="dxa" w:w="3135"/>
            <w:vAlign w:val="center"/>
          </w:tcPr>
          <w:p>
            <w:pPr>
              <w:jc w:val="left"/>
            </w:pPr>
            <w:r>
              <w:rPr>
                <w:rFonts w:ascii="Times New Roman" w:hAnsi="Times New Roman"/>
                <w:sz w:val="20"/>
              </w:rPr>
              <w:t>Comunicação interna distribuída (Mehboob, 2025)</w:t>
            </w:r>
          </w:p>
        </w:tc>
      </w:tr>
      <w:tr>
        <w:trPr>
          <w:cantSplit/>
        </w:trPr>
        <w:tc>
          <w:tcPr>
            <w:tcW w:type="dxa" w:w="3135"/>
            <w:vAlign w:val="center"/>
          </w:tcPr>
          <w:p>
            <w:pPr>
              <w:jc w:val="left"/>
            </w:pPr>
            <w:r>
              <w:rPr>
                <w:rFonts w:ascii="Times New Roman" w:hAnsi="Times New Roman"/>
                <w:sz w:val="20"/>
              </w:rPr>
              <w:t>Event Broker</w:t>
            </w:r>
          </w:p>
        </w:tc>
        <w:tc>
          <w:tcPr>
            <w:tcW w:type="dxa" w:w="3135"/>
            <w:vAlign w:val="center"/>
          </w:tcPr>
          <w:p>
            <w:pPr>
              <w:jc w:val="left"/>
            </w:pPr>
            <w:r>
              <w:rPr>
                <w:rFonts w:ascii="Times New Roman" w:hAnsi="Times New Roman"/>
                <w:sz w:val="20"/>
              </w:rPr>
              <w:t>Distribuição e persistência de eventos</w:t>
            </w:r>
          </w:p>
        </w:tc>
        <w:tc>
          <w:tcPr>
            <w:tcW w:type="dxa" w:w="3135"/>
            <w:vAlign w:val="center"/>
          </w:tcPr>
          <w:p>
            <w:pPr>
              <w:jc w:val="left"/>
            </w:pPr>
            <w:r>
              <w:rPr>
                <w:rFonts w:ascii="Times New Roman" w:hAnsi="Times New Roman"/>
                <w:sz w:val="20"/>
              </w:rPr>
              <w:t>Integração assíncrona (Mehboob, 2025)</w:t>
            </w:r>
          </w:p>
        </w:tc>
      </w:tr>
      <w:tr>
        <w:trPr>
          <w:cantSplit/>
        </w:trPr>
        <w:tc>
          <w:tcPr>
            <w:tcW w:type="dxa" w:w="3135"/>
            <w:vAlign w:val="center"/>
          </w:tcPr>
          <w:p>
            <w:pPr>
              <w:jc w:val="left"/>
            </w:pPr>
            <w:r>
              <w:rPr>
                <w:rFonts w:ascii="Times New Roman" w:hAnsi="Times New Roman"/>
                <w:sz w:val="20"/>
              </w:rPr>
              <w:t>Container Orchestration</w:t>
            </w:r>
          </w:p>
        </w:tc>
        <w:tc>
          <w:tcPr>
            <w:tcW w:type="dxa" w:w="3135"/>
            <w:vAlign w:val="center"/>
          </w:tcPr>
          <w:p>
            <w:pPr>
              <w:jc w:val="left"/>
            </w:pPr>
            <w:r>
              <w:rPr>
                <w:rFonts w:ascii="Times New Roman" w:hAnsi="Times New Roman"/>
                <w:sz w:val="20"/>
              </w:rPr>
              <w:t>Escala, automação e autocorreção</w:t>
            </w:r>
          </w:p>
        </w:tc>
        <w:tc>
          <w:tcPr>
            <w:tcW w:type="dxa" w:w="3135"/>
            <w:vAlign w:val="center"/>
          </w:tcPr>
          <w:p>
            <w:pPr>
              <w:jc w:val="left"/>
            </w:pPr>
            <w:r>
              <w:rPr>
                <w:rFonts w:ascii="Times New Roman" w:hAnsi="Times New Roman"/>
                <w:sz w:val="20"/>
              </w:rPr>
              <w:t>Operação cloud-native (Mehboob, 2025)</w:t>
            </w:r>
          </w:p>
        </w:tc>
      </w:tr>
      <w:tr>
        <w:trPr>
          <w:cantSplit/>
        </w:trPr>
        <w:tc>
          <w:tcPr>
            <w:tcW w:type="dxa" w:w="3135"/>
            <w:vAlign w:val="center"/>
          </w:tcPr>
          <w:p>
            <w:pPr>
              <w:jc w:val="left"/>
            </w:pPr>
            <w:r>
              <w:rPr>
                <w:rFonts w:ascii="Times New Roman" w:hAnsi="Times New Roman"/>
                <w:sz w:val="20"/>
              </w:rPr>
              <w:t>MuleSoft</w:t>
            </w:r>
          </w:p>
        </w:tc>
        <w:tc>
          <w:tcPr>
            <w:tcW w:type="dxa" w:w="3135"/>
            <w:vAlign w:val="center"/>
          </w:tcPr>
          <w:p>
            <w:pPr>
              <w:jc w:val="left"/>
            </w:pPr>
            <w:r>
              <w:rPr>
                <w:rFonts w:ascii="Times New Roman" w:hAnsi="Times New Roman"/>
                <w:sz w:val="20"/>
              </w:rPr>
              <w:t>Integração orientada a APIs</w:t>
            </w:r>
          </w:p>
        </w:tc>
        <w:tc>
          <w:tcPr>
            <w:tcW w:type="dxa" w:w="3135"/>
            <w:vAlign w:val="center"/>
          </w:tcPr>
          <w:p>
            <w:pPr>
              <w:jc w:val="left"/>
            </w:pPr>
            <w:r>
              <w:rPr>
                <w:rFonts w:ascii="Times New Roman" w:hAnsi="Times New Roman"/>
                <w:sz w:val="20"/>
              </w:rPr>
              <w:t>Empresas com arquitetura distribuída (Pavan &amp; Gummadi, 2024)</w:t>
            </w:r>
          </w:p>
        </w:tc>
      </w:tr>
    </w:tbl>
    <w:p>
      <w:pPr>
        <w:ind w:firstLine="0"/>
        <w:jc w:val="center"/>
      </w:pPr>
      <w:r>
        <w:rPr>
          <w:i/>
          <w:sz w:val="20"/>
        </w:rPr>
        <w:t>Fonte: elaborado com base em Mehboob (2025) e Pavan e Gummadi (2024).</w:t>
      </w:r>
    </w:p>
    <w:p>
      <w:pPr>
        <w:pStyle w:val="Heading1"/>
      </w:pPr>
      <w:r>
        <w:t>Exemplos</w:t>
      </w:r>
    </w:p>
    <w:p>
      <w:r>
        <w:t>Os exemplos encontrados mostram APIs em diferentes domínios. Em sistemas corporativos e legados, uma estratégia frequente é combinar System APIs, Process APIs e Experience APIs para modernizar aplicações e conectar camadas antigas a interfaces novas (Gaddam, 2025). Em arquiteturas cloud-native, a combinação entre microserviços, eventos e API gateway é recomendada para alta escalabilidade, integração com legados e processamento em tempo real (Putrevu, 2025).</w:t>
      </w:r>
    </w:p>
    <w:p>
      <w:r>
        <w:t>Também há exemplos concretos de APIs amplamente usadas em ecossistemas digitais, como Google Maps, Stripe, Spotify, OpenWeatherMap e Twilio, avaliadas por documentação, integração, desempenho, suporte e segurança (Mittapally, 2024). No desenvolvimento prático, REST costuma ser mais simples de depurar com ferramentas como Postman e cURL, enquanto GraphQL favorece clientes com necessidades flexíveis de dados em um único endpoint (Bhosale, 2025).</w:t>
      </w:r>
    </w:p>
    <w:p>
      <w:pPr>
        <w:pStyle w:val="Heading1"/>
      </w:pPr>
      <w:r>
        <w:t>Conclusão</w:t>
      </w:r>
    </w:p>
    <w:p>
      <w:r>
        <w:t>APIs e integrações formam a infraestrutura central dos sistemas digitais modernos, porque padronizam a comunicação entre aplicações e tornam possível reutilizar serviços, conectar terceiros e escalar arquiteturas distribuídas (Seth et al., 2024; Mylsamy &amp; Shrivastav, 2025; Amer et al., 2026). A evidência indica que não existe um único padrão ideal: REST segue forte em serviços públicos, GraphQL atende melhor consultas complexas, gRPC favorece comunicação interna de alto desempenho, e SOAP continua relevante em cenários corporativos que exigem rigor transacional e segurança (Tangudu, 2026; Addanki, 2025).</w:t>
      </w:r>
    </w:p>
    <w:p>
      <w:r>
        <w:t>Ferramentas como gateways, middleware, orquestração, eventos e governança completam esse ecossistema, mostrando que integrar bem não depende apenas do protocolo escolhido, mas também de arquitetura, segurança, documentação, versionamento e gestão do ciclo de vida das APIs (Mehboob, 2025; Amer et al., 2026; Seth et al., 2024).</w:t>
      </w:r>
    </w:p>
    <w:p>
      <w:pPr>
        <w:pStyle w:val="Heading1"/>
        <w:pageBreakBefore/>
      </w:pPr>
      <w:r>
        <w:t>Referências</w:t>
      </w:r>
    </w:p>
    <w:p>
      <w:pPr>
        <w:spacing w:line="240" w:lineRule="auto" w:after="120"/>
        <w:ind w:left="0" w:firstLine="0"/>
      </w:pPr>
      <w:r>
        <w:rPr>
          <w:rFonts w:ascii="Times New Roman" w:hAnsi="Times New Roman"/>
          <w:sz w:val="20"/>
        </w:rPr>
        <w:t xml:space="preserve">ADDANKI, S.. </w:t>
      </w:r>
      <w:r>
        <w:rPr>
          <w:rFonts w:ascii="Times New Roman" w:hAnsi="Times New Roman"/>
          <w:sz w:val="20"/>
        </w:rPr>
        <w:t xml:space="preserve">Architectural shifts in API design: the progression from SOAP to REST and GraphQL. </w:t>
      </w:r>
      <w:r>
        <w:rPr>
          <w:rFonts w:ascii="Times New Roman" w:hAnsi="Times New Roman"/>
          <w:i/>
          <w:sz w:val="20"/>
        </w:rPr>
        <w:t>International Journal on Science and Technology.</w:t>
      </w:r>
      <w:r>
        <w:rPr>
          <w:rFonts w:ascii="Times New Roman" w:hAnsi="Times New Roman"/>
          <w:sz w:val="20"/>
        </w:rPr>
        <w:t xml:space="preserve"> https://doi.org/10.71097/ijsat.v16.i2.6579</w:t>
      </w:r>
    </w:p>
    <w:p>
      <w:pPr>
        <w:spacing w:line="240" w:lineRule="auto" w:after="120"/>
        <w:ind w:left="0" w:firstLine="0"/>
      </w:pPr>
      <w:r>
        <w:rPr>
          <w:rFonts w:ascii="Times New Roman" w:hAnsi="Times New Roman"/>
          <w:sz w:val="20"/>
        </w:rPr>
        <w:t xml:space="preserve">AMER, M.; ALI, A.; ALSAUD, S.; RUSHOOD, I. S. A.. </w:t>
      </w:r>
      <w:r>
        <w:rPr>
          <w:rFonts w:ascii="Times New Roman" w:hAnsi="Times New Roman"/>
          <w:sz w:val="20"/>
        </w:rPr>
        <w:t xml:space="preserve">Third-party systems integration and the role of API governance. </w:t>
      </w:r>
      <w:r>
        <w:rPr>
          <w:rFonts w:ascii="Times New Roman" w:hAnsi="Times New Roman"/>
          <w:i/>
          <w:sz w:val="20"/>
        </w:rPr>
        <w:t>IPTC Summit on AI for the Energy Industry.</w:t>
      </w:r>
      <w:r>
        <w:rPr>
          <w:rFonts w:ascii="Times New Roman" w:hAnsi="Times New Roman"/>
          <w:sz w:val="20"/>
        </w:rPr>
        <w:t xml:space="preserve"> https://doi.org/10.2523/iptc-25215-ms</w:t>
      </w:r>
    </w:p>
    <w:p>
      <w:pPr>
        <w:spacing w:line="240" w:lineRule="auto" w:after="120"/>
        <w:ind w:left="0" w:firstLine="0"/>
      </w:pPr>
      <w:r>
        <w:rPr>
          <w:rFonts w:ascii="Times New Roman" w:hAnsi="Times New Roman"/>
          <w:sz w:val="20"/>
        </w:rPr>
        <w:t xml:space="preserve">BHOSALE, P.. </w:t>
      </w:r>
      <w:r>
        <w:rPr>
          <w:rFonts w:ascii="Times New Roman" w:hAnsi="Times New Roman"/>
          <w:sz w:val="20"/>
        </w:rPr>
        <w:t xml:space="preserve">Implementing secure and scalable APIs in Java Spring Boot: RESTful vs. GraphQL services. </w:t>
      </w:r>
      <w:r>
        <w:rPr>
          <w:rFonts w:ascii="Times New Roman" w:hAnsi="Times New Roman"/>
          <w:i/>
          <w:sz w:val="20"/>
        </w:rPr>
        <w:t>International Journal of Scientific Research in Engineering and Management.</w:t>
      </w:r>
      <w:r>
        <w:rPr>
          <w:rFonts w:ascii="Times New Roman" w:hAnsi="Times New Roman"/>
          <w:sz w:val="20"/>
        </w:rPr>
        <w:t xml:space="preserve"> https://doi.org/10.55041/ijsrem11316</w:t>
      </w:r>
    </w:p>
    <w:p>
      <w:pPr>
        <w:spacing w:line="240" w:lineRule="auto" w:after="120"/>
        <w:ind w:left="0" w:firstLine="0"/>
      </w:pPr>
      <w:r>
        <w:rPr>
          <w:rFonts w:ascii="Times New Roman" w:hAnsi="Times New Roman"/>
          <w:sz w:val="20"/>
        </w:rPr>
        <w:t xml:space="preserve">EFUNTADE, O.; EFUNTADE, A.. </w:t>
      </w:r>
      <w:r>
        <w:rPr>
          <w:rFonts w:ascii="Times New Roman" w:hAnsi="Times New Roman"/>
          <w:sz w:val="20"/>
        </w:rPr>
        <w:t xml:space="preserve">Application programming interface (API) and management of web-based accounting information system (AIS): security of transaction processing system, general ledger and financial reporting system. </w:t>
      </w:r>
      <w:r>
        <w:rPr>
          <w:rFonts w:ascii="Times New Roman" w:hAnsi="Times New Roman"/>
          <w:i/>
          <w:sz w:val="20"/>
        </w:rPr>
        <w:t>Journal of Accounting and Financial Management.</w:t>
      </w:r>
      <w:r>
        <w:rPr>
          <w:rFonts w:ascii="Times New Roman" w:hAnsi="Times New Roman"/>
          <w:sz w:val="20"/>
        </w:rPr>
        <w:t xml:space="preserve"> https://doi.org/10.56201/jafm.v9.no6.2023.pg1.18</w:t>
      </w:r>
    </w:p>
    <w:p>
      <w:pPr>
        <w:spacing w:line="240" w:lineRule="auto" w:after="120"/>
        <w:ind w:left="0" w:firstLine="0"/>
      </w:pPr>
      <w:r>
        <w:rPr>
          <w:rFonts w:ascii="Times New Roman" w:hAnsi="Times New Roman"/>
          <w:sz w:val="20"/>
        </w:rPr>
        <w:t xml:space="preserve">GADDAM, N.. </w:t>
      </w:r>
      <w:r>
        <w:rPr>
          <w:rFonts w:ascii="Times New Roman" w:hAnsi="Times New Roman"/>
          <w:sz w:val="20"/>
        </w:rPr>
        <w:t xml:space="preserve">API-first architecture in enterprise modernization: a hybrid orchestration approach. </w:t>
      </w:r>
      <w:r>
        <w:rPr>
          <w:rFonts w:ascii="Times New Roman" w:hAnsi="Times New Roman"/>
          <w:i/>
          <w:sz w:val="20"/>
        </w:rPr>
        <w:t>Journal of International Crisis and Risk Communication Research.</w:t>
      </w:r>
      <w:r>
        <w:rPr>
          <w:rFonts w:ascii="Times New Roman" w:hAnsi="Times New Roman"/>
          <w:sz w:val="20"/>
        </w:rPr>
        <w:t xml:space="preserve"> https://doi.org/10.63278/jicrcr.vi.3525</w:t>
      </w:r>
    </w:p>
    <w:p>
      <w:pPr>
        <w:spacing w:line="240" w:lineRule="auto" w:after="120"/>
        <w:ind w:left="0" w:firstLine="0"/>
      </w:pPr>
      <w:r>
        <w:rPr>
          <w:rFonts w:ascii="Times New Roman" w:hAnsi="Times New Roman"/>
          <w:sz w:val="20"/>
        </w:rPr>
        <w:t xml:space="preserve">MEHBOOB, S. A.. </w:t>
      </w:r>
      <w:r>
        <w:rPr>
          <w:rFonts w:ascii="Times New Roman" w:hAnsi="Times New Roman"/>
          <w:sz w:val="20"/>
        </w:rPr>
        <w:t xml:space="preserve">Orchestrating the distributed enterprise: microservices as catalysts for systems integration evolution. </w:t>
      </w:r>
      <w:r>
        <w:rPr>
          <w:rFonts w:ascii="Times New Roman" w:hAnsi="Times New Roman"/>
          <w:i/>
          <w:sz w:val="20"/>
        </w:rPr>
        <w:t>International Journal of Small Business and Entrepreneurship Research.</w:t>
      </w:r>
      <w:r>
        <w:rPr>
          <w:rFonts w:ascii="Times New Roman" w:hAnsi="Times New Roman"/>
          <w:sz w:val="20"/>
        </w:rPr>
        <w:t xml:space="preserve"> https://doi.org/10.37745/ijsber.2013/vol13n17388</w:t>
      </w:r>
    </w:p>
    <w:p>
      <w:pPr>
        <w:spacing w:line="240" w:lineRule="auto" w:after="120"/>
        <w:ind w:left="0" w:firstLine="0"/>
      </w:pPr>
      <w:r>
        <w:rPr>
          <w:rFonts w:ascii="Times New Roman" w:hAnsi="Times New Roman"/>
          <w:sz w:val="20"/>
        </w:rPr>
        <w:t xml:space="preserve">MITTAPALLY, R.. </w:t>
      </w:r>
      <w:r>
        <w:rPr>
          <w:rFonts w:ascii="Times New Roman" w:hAnsi="Times New Roman"/>
          <w:sz w:val="20"/>
        </w:rPr>
        <w:t xml:space="preserve">The secure computation application programming interface using the ARAS method. </w:t>
      </w:r>
      <w:r>
        <w:rPr>
          <w:rFonts w:ascii="Times New Roman" w:hAnsi="Times New Roman"/>
          <w:i/>
          <w:sz w:val="20"/>
        </w:rPr>
        <w:t>Journal of Artificial Intelligence and Machine Learning.</w:t>
      </w:r>
      <w:r>
        <w:rPr>
          <w:rFonts w:ascii="Times New Roman" w:hAnsi="Times New Roman"/>
          <w:sz w:val="20"/>
        </w:rPr>
        <w:t xml:space="preserve"> https://doi.org/10.55124/jaim.v2i2.244</w:t>
      </w:r>
    </w:p>
    <w:p>
      <w:pPr>
        <w:spacing w:line="240" w:lineRule="auto" w:after="120"/>
        <w:ind w:left="0" w:firstLine="0"/>
      </w:pPr>
      <w:r>
        <w:rPr>
          <w:rFonts w:ascii="Times New Roman" w:hAnsi="Times New Roman"/>
          <w:sz w:val="20"/>
        </w:rPr>
        <w:t xml:space="preserve">MYLSAMY, S.; SHRIVASTAV, E. A.. </w:t>
      </w:r>
      <w:r>
        <w:rPr>
          <w:rFonts w:ascii="Times New Roman" w:hAnsi="Times New Roman"/>
          <w:sz w:val="20"/>
        </w:rPr>
        <w:t xml:space="preserve">API design and integration in a microservices environment. </w:t>
      </w:r>
      <w:r>
        <w:rPr>
          <w:rFonts w:ascii="Times New Roman" w:hAnsi="Times New Roman"/>
          <w:i/>
          <w:sz w:val="20"/>
        </w:rPr>
        <w:t>International Journal for Research Publication and Seminar.</w:t>
      </w:r>
      <w:r>
        <w:rPr>
          <w:rFonts w:ascii="Times New Roman" w:hAnsi="Times New Roman"/>
          <w:sz w:val="20"/>
        </w:rPr>
        <w:t xml:space="preserve"> https://doi.org/10.36676/jrps.v16.i1.205</w:t>
      </w:r>
    </w:p>
    <w:p>
      <w:pPr>
        <w:spacing w:line="240" w:lineRule="auto" w:after="120"/>
        <w:ind w:left="0" w:firstLine="0"/>
      </w:pPr>
      <w:r>
        <w:rPr>
          <w:rFonts w:ascii="Times New Roman" w:hAnsi="Times New Roman"/>
          <w:sz w:val="20"/>
        </w:rPr>
        <w:t xml:space="preserve">OFOEDA, J.; BOATENG, R.; C., J.; EFFAH, J.. </w:t>
      </w:r>
      <w:r>
        <w:rPr>
          <w:rFonts w:ascii="Times New Roman" w:hAnsi="Times New Roman"/>
          <w:sz w:val="20"/>
        </w:rPr>
        <w:t xml:space="preserve">Exploring the strategies shaping application programming interface development and integration in digital music platforms: a qualitative case study. </w:t>
      </w:r>
      <w:r>
        <w:rPr>
          <w:rFonts w:ascii="Times New Roman" w:hAnsi="Times New Roman"/>
          <w:i/>
          <w:sz w:val="20"/>
        </w:rPr>
        <w:t>African Journal of Science, Technology, Innovation and Development, 17, 1008-1024.</w:t>
      </w:r>
      <w:r>
        <w:rPr>
          <w:rFonts w:ascii="Times New Roman" w:hAnsi="Times New Roman"/>
          <w:sz w:val="20"/>
        </w:rPr>
        <w:t xml:space="preserve"> https://doi.org/10.1080/20421338.2025.2578078</w:t>
      </w:r>
    </w:p>
    <w:p>
      <w:pPr>
        <w:spacing w:line="240" w:lineRule="auto" w:after="120"/>
        <w:ind w:left="0" w:firstLine="0"/>
      </w:pPr>
      <w:r>
        <w:rPr>
          <w:rFonts w:ascii="Times New Roman" w:hAnsi="Times New Roman"/>
          <w:sz w:val="20"/>
        </w:rPr>
        <w:t xml:space="preserve">PARK, C. R.; HEO, H.; SUH, C. H.; SHIM, W. H.. </w:t>
      </w:r>
      <w:r>
        <w:rPr>
          <w:rFonts w:ascii="Times New Roman" w:hAnsi="Times New Roman"/>
          <w:sz w:val="20"/>
        </w:rPr>
        <w:t xml:space="preserve">Uncover this tech term: application programming interface for large language models. </w:t>
      </w:r>
      <w:r>
        <w:rPr>
          <w:rFonts w:ascii="Times New Roman" w:hAnsi="Times New Roman"/>
          <w:i/>
          <w:sz w:val="20"/>
        </w:rPr>
        <w:t>Korean Journal of Radiology, 26, 793-796.</w:t>
      </w:r>
      <w:r>
        <w:rPr>
          <w:rFonts w:ascii="Times New Roman" w:hAnsi="Times New Roman"/>
          <w:sz w:val="20"/>
        </w:rPr>
        <w:t xml:space="preserve"> https://doi.org/10.3348/kjr.2025.0360</w:t>
      </w:r>
    </w:p>
    <w:p>
      <w:pPr>
        <w:spacing w:line="240" w:lineRule="auto" w:after="120"/>
        <w:ind w:left="0" w:firstLine="0"/>
      </w:pPr>
      <w:r>
        <w:rPr>
          <w:rFonts w:ascii="Times New Roman" w:hAnsi="Times New Roman"/>
          <w:sz w:val="20"/>
        </w:rPr>
        <w:t xml:space="preserve">PAVAN, V.; GUMMADI, K.. </w:t>
      </w:r>
      <w:r>
        <w:rPr>
          <w:rFonts w:ascii="Times New Roman" w:hAnsi="Times New Roman"/>
          <w:sz w:val="20"/>
        </w:rPr>
        <w:t xml:space="preserve">Microservices architecture with APIs: design, implementation, and MuleSoft integration. </w:t>
      </w:r>
      <w:r>
        <w:rPr>
          <w:rFonts w:ascii="Times New Roman" w:hAnsi="Times New Roman"/>
          <w:i/>
          <w:sz w:val="20"/>
        </w:rPr>
        <w:t>Journal of Electrical Systems.</w:t>
      </w:r>
      <w:r>
        <w:rPr>
          <w:rFonts w:ascii="Times New Roman" w:hAnsi="Times New Roman"/>
          <w:sz w:val="20"/>
        </w:rPr>
        <w:t xml:space="preserve"> https://doi.org/10.52783/jes.9328</w:t>
      </w:r>
    </w:p>
    <w:p>
      <w:pPr>
        <w:spacing w:line="240" w:lineRule="auto" w:after="120"/>
        <w:ind w:left="0" w:firstLine="0"/>
      </w:pPr>
      <w:r>
        <w:rPr>
          <w:rFonts w:ascii="Times New Roman" w:hAnsi="Times New Roman"/>
          <w:sz w:val="20"/>
        </w:rPr>
        <w:t xml:space="preserve">PAWAR, S.; K, S.; LAXMI, G.. </w:t>
      </w:r>
      <w:r>
        <w:rPr>
          <w:rFonts w:ascii="Times New Roman" w:hAnsi="Times New Roman"/>
          <w:sz w:val="20"/>
        </w:rPr>
        <w:t xml:space="preserve">Application programming interface with a case study of SOA. </w:t>
      </w:r>
      <w:r>
        <w:rPr>
          <w:rFonts w:ascii="Times New Roman" w:hAnsi="Times New Roman"/>
          <w:i/>
          <w:sz w:val="20"/>
        </w:rPr>
        <w:t>2023 International Conference on Integrated Intelligence and Communication Systems (ICIICS), 1-5.</w:t>
      </w:r>
      <w:r>
        <w:rPr>
          <w:rFonts w:ascii="Times New Roman" w:hAnsi="Times New Roman"/>
          <w:sz w:val="20"/>
        </w:rPr>
        <w:t xml:space="preserve"> https://doi.org/10.1109/iciics59993.2023.10421593</w:t>
      </w:r>
    </w:p>
    <w:p>
      <w:pPr>
        <w:spacing w:line="240" w:lineRule="auto" w:after="120"/>
        <w:ind w:left="0" w:firstLine="0"/>
      </w:pPr>
      <w:r>
        <w:rPr>
          <w:rFonts w:ascii="Times New Roman" w:hAnsi="Times New Roman"/>
          <w:sz w:val="20"/>
        </w:rPr>
        <w:t xml:space="preserve">PUTREVU, A.. </w:t>
      </w:r>
      <w:r>
        <w:rPr>
          <w:rFonts w:ascii="Times New Roman" w:hAnsi="Times New Roman"/>
          <w:sz w:val="20"/>
        </w:rPr>
        <w:t xml:space="preserve">Cloud-native enterprise integration patterns: microservices, event-driven models, and API gateways. </w:t>
      </w:r>
      <w:r>
        <w:rPr>
          <w:rFonts w:ascii="Times New Roman" w:hAnsi="Times New Roman"/>
          <w:i/>
          <w:sz w:val="20"/>
        </w:rPr>
        <w:t>European Modern Studies Journal.</w:t>
      </w:r>
      <w:r>
        <w:rPr>
          <w:rFonts w:ascii="Times New Roman" w:hAnsi="Times New Roman"/>
          <w:sz w:val="20"/>
        </w:rPr>
        <w:t xml:space="preserve"> https://doi.org/10.59573/emsj.9(5).2025.60</w:t>
      </w:r>
    </w:p>
    <w:p>
      <w:pPr>
        <w:spacing w:line="240" w:lineRule="auto" w:after="120"/>
        <w:ind w:left="0" w:firstLine="0"/>
      </w:pPr>
      <w:r>
        <w:rPr>
          <w:rFonts w:ascii="Times New Roman" w:hAnsi="Times New Roman"/>
          <w:sz w:val="20"/>
        </w:rPr>
        <w:t xml:space="preserve">SETH, D.; RATRA, K. K.; LAKSHMINARAYANACHAR, R.; ATHAMAKURI, S.; SUNDESWARAN, A.. </w:t>
      </w:r>
      <w:r>
        <w:rPr>
          <w:rFonts w:ascii="Times New Roman" w:hAnsi="Times New Roman"/>
          <w:sz w:val="20"/>
        </w:rPr>
        <w:t xml:space="preserve">Pattern play: advanced API integration for cutting-edge applications. </w:t>
      </w:r>
      <w:r>
        <w:rPr>
          <w:rFonts w:ascii="Times New Roman" w:hAnsi="Times New Roman"/>
          <w:i/>
          <w:sz w:val="20"/>
        </w:rPr>
        <w:t>International Journal for Research in Applied Science and Engineering Technology.</w:t>
      </w:r>
      <w:r>
        <w:rPr>
          <w:rFonts w:ascii="Times New Roman" w:hAnsi="Times New Roman"/>
          <w:sz w:val="20"/>
        </w:rPr>
        <w:t xml:space="preserve"> https://doi.org/10.22214/ijraset.2024.63786</w:t>
      </w:r>
    </w:p>
    <w:p>
      <w:pPr>
        <w:spacing w:line="240" w:lineRule="auto" w:after="120"/>
        <w:ind w:left="0" w:firstLine="0"/>
      </w:pPr>
      <w:r>
        <w:rPr>
          <w:rFonts w:ascii="Times New Roman" w:hAnsi="Times New Roman"/>
          <w:sz w:val="20"/>
        </w:rPr>
        <w:t xml:space="preserve">TANGUDU, R.. </w:t>
      </w:r>
      <w:r>
        <w:rPr>
          <w:rFonts w:ascii="Times New Roman" w:hAnsi="Times New Roman"/>
          <w:sz w:val="20"/>
        </w:rPr>
        <w:t xml:space="preserve">A comparative design study of REST, GraphQL and gRPC APIs for large-scale applications. </w:t>
      </w:r>
      <w:r>
        <w:rPr>
          <w:rFonts w:ascii="Times New Roman" w:hAnsi="Times New Roman"/>
          <w:i/>
          <w:sz w:val="20"/>
        </w:rPr>
        <w:t>International Journal of Science and Research Archive.</w:t>
      </w:r>
      <w:r>
        <w:rPr>
          <w:rFonts w:ascii="Times New Roman" w:hAnsi="Times New Roman"/>
          <w:sz w:val="20"/>
        </w:rPr>
        <w:t xml:space="preserve"> https://doi.org/10.30574/ijsra.2026.18.3.0416</w:t>
      </w:r>
    </w:p>
    <w:sectPr w:rsidR="00FC693F" w:rsidRPr="0006063C" w:rsidSect="00034616">
      <w:footerReference w:type="default" r:id="rId9"/>
      <w:pgSz w:w="12240" w:h="15840"/>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Pesquisa sobre APIs e Integrações</dc:title>
  <dc:subject>APIs e Integrações – formatação ABNT</dc:subject>
  <dc:creator/>
  <cp:keywords>APIs, Integrações, ABNT</cp:keywords>
  <dc:description>generated by python-docx</dc:description>
  <cp:lastModifiedBy/>
  <cp:revision>1</cp:revision>
  <dcterms:created xsi:type="dcterms:W3CDTF">2013-12-23T23:15:00Z</dcterms:created>
  <dcterms:modified xsi:type="dcterms:W3CDTF">2013-12-23T23:15:00Z</dcterms:modified>
  <cp:category/>
</cp:coreProperties>
</file>