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Consequências do tabagismo no pulmão</w:t>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pStyle w:val="Heading1"/>
        <w:spacing w:before="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Consequences of smoking on the lungs</w:t>
      </w:r>
    </w:p>
    <w:p w:rsidR="00000000" w:rsidDel="00000000" w:rsidP="00000000" w:rsidRDefault="00000000" w:rsidRPr="00000000" w14:paraId="0000000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xo15izmnpslf" w:id="1"/>
      <w:bookmarkEnd w:id="1"/>
      <w:r w:rsidDel="00000000" w:rsidR="00000000" w:rsidRPr="00000000">
        <w:rPr>
          <w:rFonts w:ascii="Times New Roman" w:cs="Times New Roman" w:eastAsia="Times New Roman" w:hAnsi="Times New Roman"/>
          <w:sz w:val="24"/>
          <w:szCs w:val="24"/>
          <w:rtl w:val="0"/>
        </w:rPr>
        <w:t xml:space="preserve">Através da realidade aumentada, vamos mostrar como o tabagismo pode danificar os pulmões. Nosso objetivo é mostrar diferentes tipos de pulmões de acordo com o tempo de fumo e a quantidade de cigarros consumidos. Ao interagir com essa visualização, você vai perceber os efeitos do tabagismo de forma clara , vendo como ele pode levar ao câncer de pulmão, DPOC e outras doenças graves. Por meio da realidade aumentada faremos você sentir, de maneira única e educativa, os riscos reais do tabagismo, ajudando a refletir sobre a importância de evitar e cuidar da sua saúde.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6f2out7tbrvu" w:id="2"/>
      <w:bookmarkEnd w:id="2"/>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Pulmão, fumar, doença, tabagismo, conscientização, saúde, sistema-respiratório, vício e respiração.</w:t>
      </w:r>
    </w:p>
    <w:p w:rsidR="00000000" w:rsidDel="00000000" w:rsidP="00000000" w:rsidRDefault="00000000" w:rsidRPr="00000000" w14:paraId="0000000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Through augmented reality, we will show how smoking can damage the lungs. Our goal is to display different types of lungs based on smoking duration and the number of cigarettes consumed. By interacting with this visualization, you will clearly perceive the effects of smoking, seeing how it can lead to lung cancer, COPD, and other serious diseases. Through augmented reality, we will provide you with a unique and educational experience of the real risks of smoking, helping you reflect on the importance of avoiding and taking care of your health.</w:t>
      </w:r>
    </w:p>
    <w:p w:rsidR="00000000" w:rsidDel="00000000" w:rsidP="00000000" w:rsidRDefault="00000000" w:rsidRPr="00000000" w14:paraId="0000000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4o mini</w:t>
      </w:r>
    </w:p>
    <w:p w:rsidR="00000000" w:rsidDel="00000000" w:rsidP="00000000" w:rsidRDefault="00000000" w:rsidRPr="00000000" w14:paraId="0000000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Lung, smoking, disease, tobacco use, awareness, health, respiratory system, addiction and breathing.</w:t>
      </w:r>
    </w:p>
    <w:p w:rsidR="00000000" w:rsidDel="00000000" w:rsidP="00000000" w:rsidRDefault="00000000" w:rsidRPr="00000000" w14:paraId="0000001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Títulos de seção e subtítulos: em negrito, fonte times, tamanho 12, à esquerda</w:t>
      </w:r>
    </w:p>
    <w:p w:rsidR="00000000" w:rsidDel="00000000" w:rsidP="00000000" w:rsidRDefault="00000000" w:rsidRPr="00000000" w14:paraId="0000001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567"/>
        <w:jc w:val="both"/>
        <w:rPr>
          <w:rFonts w:ascii="Times New Roman" w:cs="Times New Roman" w:eastAsia="Times New Roman" w:hAnsi="Times New Roman"/>
          <w:sz w:val="24"/>
          <w:szCs w:val="24"/>
        </w:rPr>
      </w:pPr>
      <w:bookmarkStart w:colFirst="0" w:colLast="0" w:name="_30j0zll" w:id="3"/>
      <w:bookmarkEnd w:id="3"/>
      <w:r w:rsidDel="00000000" w:rsidR="00000000" w:rsidRPr="00000000">
        <w:rPr>
          <w:rFonts w:ascii="Times New Roman" w:cs="Times New Roman" w:eastAsia="Times New Roman" w:hAnsi="Times New Roman"/>
          <w:sz w:val="24"/>
          <w:szCs w:val="24"/>
          <w:rtl w:val="0"/>
        </w:rPr>
        <w:t xml:space="preserve">Para facilitar o processo de submissão, gostaríamos de elencar alguns elementos que esperamos encontrar no seu trabalho. O arquivo do texto deverá ser encaminhado no formato Word (.doc ou .docx), com fonte Times New Roman, tamanho 12 e cor preta. O espaçamento deve ser de 1,5 entre linhas, sem espaçamento entre parágrafos. E o formato do papel no tamanho A4 (29,7 x 21 cm).</w:t>
      </w:r>
    </w:p>
    <w:p w:rsidR="00000000" w:rsidDel="00000000" w:rsidP="00000000" w:rsidRDefault="00000000" w:rsidRPr="00000000" w14:paraId="00000015">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texto deve ter entre 4.000 e 8.000 palavras (ou até 20 páginas), incluindo títulos, resumos, palavras-chave, ilustrações (quadros, tabelas, gráficos,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e referências bibliográficas. É aconselhável que seja evitado o uso de notas de rodapé. Título, resumo e palavras-chave em português e em inglês. Além disso, os títulos devem ter, no máximo, 15 palavras, incluindo artigos e preposições. O resumo e o </w:t>
      </w:r>
      <w:r w:rsidDel="00000000" w:rsidR="00000000" w:rsidRPr="00000000">
        <w:rPr>
          <w:rFonts w:ascii="Times New Roman" w:cs="Times New Roman" w:eastAsia="Times New Roman" w:hAnsi="Times New Roman"/>
          <w:i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devem ter entre 150 e 250 palavras. Os artigos devem ter no mínimo três e no máximo cinco palavras-chave e </w:t>
      </w: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citações e referências devem estar adequadas à NBR 10520:2023 da ABNT; Corpo do texto em times, tamanho 12, justificado, com marcação de parágrafo. Ao utilizar citações siga o modelo: “citações com até 3 linhas devem estar internas ao texto, com aspas e a referência conforme indicado” (Sobrenome, ano de publicação, p. XX). Na referência interna ao texto, o nome do autor deve vir com apenas a primeira letra maiúscula. </w:t>
      </w:r>
    </w:p>
    <w:p w:rsidR="00000000" w:rsidDel="00000000" w:rsidP="00000000" w:rsidRDefault="00000000" w:rsidRPr="00000000" w14:paraId="00000017">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caso de citações com quatro ou mais linhas, siga o modelo em bloco, sem aspas. A referência interna se mantém como na indicação anterior. Caso a citação seja parte de texto, utilize os parênteses com os três pontos:</w:t>
      </w:r>
    </w:p>
    <w:p w:rsidR="00000000" w:rsidDel="00000000" w:rsidP="00000000" w:rsidRDefault="00000000" w:rsidRPr="00000000" w14:paraId="00000018">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spacing w:after="0" w:before="0" w:line="240" w:lineRule="auto"/>
        <w:ind w:left="216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Lorem ipsum dolor sit amet, consectetur adipiscing elit. Quisque vel sem in metus tincidunt varius. Phasellus ac laoreet mauris, finibus pretium sem. Praesent nec molestie orci, nec pellentesque turpis. Vestibulum vel sodales libero. Nam sed auctor eros. Phasellus iaculis fringilla diam, eget ultricies urna congue nec. Phasellus neque nisi, tempor fringilla tristique et, ullamcorper quis diam. Morbi vel pharetra ante, eget pellentesque mi. Etiam fringilla vitae ipsum a dictum. Nulla vehicula sem et dolor interdum, sed tincidunt est pretium. Sed sed libero ipsum. In neque lectus, ullamcorper eu tortor sed, porta consequat erat. Nulla vitae massa ut lacus aliquam placerat eget et eros. Quisque sed tortor eu tortor rhoncus ornare ac vel felis. Sed sit amet faucibus justo, at feugiat purus. Mauris nec vehicula lorem, id tempus risus. (Sobrenome, ano, p. XXX).</w:t>
      </w:r>
    </w:p>
    <w:p w:rsidR="00000000" w:rsidDel="00000000" w:rsidP="00000000" w:rsidRDefault="00000000" w:rsidRPr="00000000" w14:paraId="0000001A">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do texto, indique as referências utilizadas. Inicia-se com a palavra “referências” em negrito, fonte times, tamanho 12, à esquerda. </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ênfases de palavras ou expressões no próprio texto, utilize o negrito. Não utilize nenhum espaçamento entre parágrafos. Para o espaçamento entre linhas, utilize no corpo do texto 1,5 e simples (1,0) nas citações em bloco. Para as margens, utilize o valor 3,0 em todos os lados. </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mais informações, acesse as diretrizes para autores: </w:t>
      </w:r>
      <w:hyperlink r:id="rId6">
        <w:r w:rsidDel="00000000" w:rsidR="00000000" w:rsidRPr="00000000">
          <w:rPr>
            <w:rFonts w:ascii="Cambria" w:cs="Cambria" w:eastAsia="Cambria" w:hAnsi="Cambria"/>
            <w:color w:val="0000ff"/>
            <w:sz w:val="24"/>
            <w:szCs w:val="24"/>
            <w:u w:val="single"/>
            <w:rtl w:val="0"/>
          </w:rPr>
          <w:t xml:space="preserve">Submissão | Revista Eixo (ifb.edu.br)</w:t>
        </w:r>
      </w:hyperlink>
      <w:r w:rsidDel="00000000" w:rsidR="00000000" w:rsidRPr="00000000">
        <w:rPr>
          <w:rtl w:val="0"/>
        </w:rPr>
      </w:r>
    </w:p>
    <w:p w:rsidR="00000000" w:rsidDel="00000000" w:rsidP="00000000" w:rsidRDefault="00000000" w:rsidRPr="00000000" w14:paraId="0000001E">
      <w:pPr>
        <w:spacing w:after="120" w:line="24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20">
      <w:pPr>
        <w:spacing w:after="120" w:line="24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M. (2016) </w:t>
      </w:r>
      <w:r w:rsidDel="00000000" w:rsidR="00000000" w:rsidRPr="00000000">
        <w:rPr>
          <w:rFonts w:ascii="Times New Roman" w:cs="Times New Roman" w:eastAsia="Times New Roman" w:hAnsi="Times New Roman"/>
          <w:i w:val="1"/>
          <w:sz w:val="24"/>
          <w:szCs w:val="24"/>
          <w:rtl w:val="0"/>
        </w:rPr>
        <w:t xml:space="preserve">Ontologia, dever e valor em Lukács</w:t>
      </w:r>
      <w:r w:rsidDel="00000000" w:rsidR="00000000" w:rsidRPr="00000000">
        <w:rPr>
          <w:rFonts w:ascii="Times New Roman" w:cs="Times New Roman" w:eastAsia="Times New Roman" w:hAnsi="Times New Roman"/>
          <w:sz w:val="24"/>
          <w:szCs w:val="24"/>
          <w:rtl w:val="0"/>
        </w:rPr>
        <w:t xml:space="preserve">. Maceió: Coletivo Veredas.</w:t>
      </w:r>
    </w:p>
    <w:p w:rsidR="00000000" w:rsidDel="00000000" w:rsidP="00000000" w:rsidRDefault="00000000" w:rsidRPr="00000000" w14:paraId="0000002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LESSA, S. (2016) O mundo dos homens. Trabalho na Ontologia de Lukács. Maceió: Coletivo Veredas.</w:t>
      </w:r>
    </w:p>
    <w:p w:rsidR="00000000" w:rsidDel="00000000" w:rsidP="00000000" w:rsidRDefault="00000000" w:rsidRPr="00000000" w14:paraId="0000002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LESSA, S. (2018) </w:t>
      </w:r>
      <w:r w:rsidDel="00000000" w:rsidR="00000000" w:rsidRPr="00000000">
        <w:rPr>
          <w:rFonts w:ascii="Times New Roman" w:cs="Times New Roman" w:eastAsia="Times New Roman" w:hAnsi="Times New Roman"/>
          <w:i w:val="1"/>
          <w:sz w:val="24"/>
          <w:szCs w:val="24"/>
          <w:rtl w:val="0"/>
        </w:rPr>
        <w:t xml:space="preserve">Aparato crítico 2018</w:t>
      </w:r>
      <w:r w:rsidDel="00000000" w:rsidR="00000000" w:rsidRPr="00000000">
        <w:rPr>
          <w:rFonts w:ascii="Times New Roman" w:cs="Times New Roman" w:eastAsia="Times New Roman" w:hAnsi="Times New Roman"/>
          <w:sz w:val="24"/>
          <w:szCs w:val="24"/>
          <w:rtl w:val="0"/>
        </w:rPr>
        <w:t xml:space="preserve">. Maceió: Coletivo Veredas.</w:t>
      </w:r>
    </w:p>
    <w:p w:rsidR="00000000" w:rsidDel="00000000" w:rsidP="00000000" w:rsidRDefault="00000000" w:rsidRPr="00000000" w14:paraId="0000002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LUKÁCS, G. (1966) </w:t>
      </w:r>
      <w:r w:rsidDel="00000000" w:rsidR="00000000" w:rsidRPr="00000000">
        <w:rPr>
          <w:rFonts w:ascii="Times New Roman" w:cs="Times New Roman" w:eastAsia="Times New Roman" w:hAnsi="Times New Roman"/>
          <w:i w:val="1"/>
          <w:sz w:val="24"/>
          <w:szCs w:val="24"/>
          <w:rtl w:val="0"/>
        </w:rPr>
        <w:t xml:space="preserve">Estética. La peculiaridad de lo estético</w:t>
      </w:r>
      <w:r w:rsidDel="00000000" w:rsidR="00000000" w:rsidRPr="00000000">
        <w:rPr>
          <w:rFonts w:ascii="Times New Roman" w:cs="Times New Roman" w:eastAsia="Times New Roman" w:hAnsi="Times New Roman"/>
          <w:sz w:val="24"/>
          <w:szCs w:val="24"/>
          <w:rtl w:val="0"/>
        </w:rPr>
        <w:t xml:space="preserve"> (1. Cuestiones preliminares y de principio). Barcelona: Grijalbo.</w:t>
      </w:r>
    </w:p>
    <w:p w:rsidR="00000000" w:rsidDel="00000000" w:rsidP="00000000" w:rsidRDefault="00000000" w:rsidRPr="00000000" w14:paraId="0000002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(1967a) </w:t>
      </w:r>
      <w:r w:rsidDel="00000000" w:rsidR="00000000" w:rsidRPr="00000000">
        <w:rPr>
          <w:rFonts w:ascii="Times New Roman" w:cs="Times New Roman" w:eastAsia="Times New Roman" w:hAnsi="Times New Roman"/>
          <w:i w:val="1"/>
          <w:sz w:val="24"/>
          <w:szCs w:val="24"/>
          <w:rtl w:val="0"/>
        </w:rPr>
        <w:t xml:space="preserve">Estética. La peculiaridad de lo estético</w:t>
      </w:r>
      <w:r w:rsidDel="00000000" w:rsidR="00000000" w:rsidRPr="00000000">
        <w:rPr>
          <w:rFonts w:ascii="Times New Roman" w:cs="Times New Roman" w:eastAsia="Times New Roman" w:hAnsi="Times New Roman"/>
          <w:sz w:val="24"/>
          <w:szCs w:val="24"/>
          <w:rtl w:val="0"/>
        </w:rPr>
        <w:t xml:space="preserve"> (3. Categorías psicológicas y filosóficas básicas de lo estético). Barcelona: Grijalbo.</w:t>
      </w:r>
    </w:p>
    <w:p w:rsidR="00000000" w:rsidDel="00000000" w:rsidP="00000000" w:rsidRDefault="00000000" w:rsidRPr="00000000" w14:paraId="0000002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(1967b) </w:t>
      </w:r>
      <w:r w:rsidDel="00000000" w:rsidR="00000000" w:rsidRPr="00000000">
        <w:rPr>
          <w:rFonts w:ascii="Times New Roman" w:cs="Times New Roman" w:eastAsia="Times New Roman" w:hAnsi="Times New Roman"/>
          <w:i w:val="1"/>
          <w:sz w:val="24"/>
          <w:szCs w:val="24"/>
          <w:rtl w:val="0"/>
        </w:rPr>
        <w:t xml:space="preserve">Existencialismo ou marxismo?</w:t>
      </w:r>
      <w:r w:rsidDel="00000000" w:rsidR="00000000" w:rsidRPr="00000000">
        <w:rPr>
          <w:rFonts w:ascii="Times New Roman" w:cs="Times New Roman" w:eastAsia="Times New Roman" w:hAnsi="Times New Roman"/>
          <w:sz w:val="24"/>
          <w:szCs w:val="24"/>
          <w:rtl w:val="0"/>
        </w:rPr>
        <w:t xml:space="preserve"> São Paulo: Editora Senzala.</w:t>
      </w:r>
    </w:p>
    <w:p w:rsidR="00000000" w:rsidDel="00000000" w:rsidP="00000000" w:rsidRDefault="00000000" w:rsidRPr="00000000" w14:paraId="0000002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(1970) </w:t>
      </w:r>
      <w:r w:rsidDel="00000000" w:rsidR="00000000" w:rsidRPr="00000000">
        <w:rPr>
          <w:rFonts w:ascii="Times New Roman" w:cs="Times New Roman" w:eastAsia="Times New Roman" w:hAnsi="Times New Roman"/>
          <w:i w:val="1"/>
          <w:sz w:val="24"/>
          <w:szCs w:val="24"/>
          <w:rtl w:val="0"/>
        </w:rPr>
        <w:t xml:space="preserve">El joven Hegel y los problemas de la sociedad capitalista</w:t>
      </w:r>
      <w:r w:rsidDel="00000000" w:rsidR="00000000" w:rsidRPr="00000000">
        <w:rPr>
          <w:rFonts w:ascii="Times New Roman" w:cs="Times New Roman" w:eastAsia="Times New Roman" w:hAnsi="Times New Roman"/>
          <w:sz w:val="24"/>
          <w:szCs w:val="24"/>
          <w:rtl w:val="0"/>
        </w:rPr>
        <w:t xml:space="preserve">. Barcelona: Grijalbo.</w:t>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(2018a) </w:t>
      </w:r>
      <w:r w:rsidDel="00000000" w:rsidR="00000000" w:rsidRPr="00000000">
        <w:rPr>
          <w:rFonts w:ascii="Times New Roman" w:cs="Times New Roman" w:eastAsia="Times New Roman" w:hAnsi="Times New Roman"/>
          <w:i w:val="1"/>
          <w:sz w:val="24"/>
          <w:szCs w:val="24"/>
          <w:rtl w:val="0"/>
        </w:rPr>
        <w:t xml:space="preserve">Prolegômenos à ontologia do ser social</w:t>
      </w:r>
      <w:r w:rsidDel="00000000" w:rsidR="00000000" w:rsidRPr="00000000">
        <w:rPr>
          <w:rFonts w:ascii="Times New Roman" w:cs="Times New Roman" w:eastAsia="Times New Roman" w:hAnsi="Times New Roman"/>
          <w:sz w:val="24"/>
          <w:szCs w:val="24"/>
          <w:rtl w:val="0"/>
        </w:rPr>
        <w:t xml:space="preserve">. Maceió: Coletivo Veredas.</w:t>
      </w:r>
    </w:p>
    <w:p w:rsidR="00000000" w:rsidDel="00000000" w:rsidP="00000000" w:rsidRDefault="00000000" w:rsidRPr="00000000" w14:paraId="0000002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(2018b) </w:t>
      </w:r>
      <w:r w:rsidDel="00000000" w:rsidR="00000000" w:rsidRPr="00000000">
        <w:rPr>
          <w:rFonts w:ascii="Times New Roman" w:cs="Times New Roman" w:eastAsia="Times New Roman" w:hAnsi="Times New Roman"/>
          <w:i w:val="1"/>
          <w:sz w:val="24"/>
          <w:szCs w:val="24"/>
          <w:rtl w:val="0"/>
        </w:rPr>
        <w:t xml:space="preserve">Para a ontologia do ser social</w:t>
      </w:r>
      <w:r w:rsidDel="00000000" w:rsidR="00000000" w:rsidRPr="00000000">
        <w:rPr>
          <w:rFonts w:ascii="Times New Roman" w:cs="Times New Roman" w:eastAsia="Times New Roman" w:hAnsi="Times New Roman"/>
          <w:sz w:val="24"/>
          <w:szCs w:val="24"/>
          <w:rtl w:val="0"/>
        </w:rPr>
        <w:t xml:space="preserve">. Maceió: Coletivo Veredas.</w:t>
      </w:r>
    </w:p>
    <w:p w:rsidR="00000000" w:rsidDel="00000000" w:rsidP="00000000" w:rsidRDefault="00000000" w:rsidRPr="00000000" w14:paraId="0000002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(2020) </w:t>
      </w:r>
      <w:r w:rsidDel="00000000" w:rsidR="00000000" w:rsidRPr="00000000">
        <w:rPr>
          <w:rFonts w:ascii="Times New Roman" w:cs="Times New Roman" w:eastAsia="Times New Roman" w:hAnsi="Times New Roman"/>
          <w:i w:val="1"/>
          <w:sz w:val="24"/>
          <w:szCs w:val="24"/>
          <w:rtl w:val="0"/>
        </w:rPr>
        <w:t xml:space="preserve">A destruição da razão</w:t>
      </w:r>
      <w:r w:rsidDel="00000000" w:rsidR="00000000" w:rsidRPr="00000000">
        <w:rPr>
          <w:rFonts w:ascii="Times New Roman" w:cs="Times New Roman" w:eastAsia="Times New Roman" w:hAnsi="Times New Roman"/>
          <w:sz w:val="24"/>
          <w:szCs w:val="24"/>
          <w:rtl w:val="0"/>
        </w:rPr>
        <w:t xml:space="preserve">. Maceió: Instituto Lukács.</w:t>
      </w:r>
    </w:p>
    <w:p w:rsidR="00000000" w:rsidDel="00000000" w:rsidP="00000000" w:rsidRDefault="00000000" w:rsidRPr="00000000" w14:paraId="0000002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 K.; ENGELS F. (1959) </w:t>
      </w:r>
      <w:r w:rsidDel="00000000" w:rsidR="00000000" w:rsidRPr="00000000">
        <w:rPr>
          <w:rFonts w:ascii="Times New Roman" w:cs="Times New Roman" w:eastAsia="Times New Roman" w:hAnsi="Times New Roman"/>
          <w:i w:val="1"/>
          <w:sz w:val="24"/>
          <w:szCs w:val="24"/>
          <w:rtl w:val="0"/>
        </w:rPr>
        <w:t xml:space="preserve">La Ideología Alemana. </w:t>
      </w:r>
      <w:r w:rsidDel="00000000" w:rsidR="00000000" w:rsidRPr="00000000">
        <w:rPr>
          <w:rFonts w:ascii="Times New Roman" w:cs="Times New Roman" w:eastAsia="Times New Roman" w:hAnsi="Times New Roman"/>
          <w:sz w:val="24"/>
          <w:szCs w:val="24"/>
          <w:rtl w:val="0"/>
        </w:rPr>
        <w:t xml:space="preserve">Montevideo: Grijalbo-Editorial Pueblos Unidos.</w:t>
      </w:r>
    </w:p>
    <w:p w:rsidR="00000000" w:rsidDel="00000000" w:rsidP="00000000" w:rsidRDefault="00000000" w:rsidRPr="00000000" w14:paraId="0000002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(2002) </w:t>
      </w:r>
      <w:r w:rsidDel="00000000" w:rsidR="00000000" w:rsidRPr="00000000">
        <w:rPr>
          <w:rFonts w:ascii="Times New Roman" w:cs="Times New Roman" w:eastAsia="Times New Roman" w:hAnsi="Times New Roman"/>
          <w:i w:val="1"/>
          <w:sz w:val="24"/>
          <w:szCs w:val="24"/>
          <w:rtl w:val="0"/>
        </w:rPr>
        <w:t xml:space="preserve">El Capital. Crítica de la economía política</w:t>
      </w:r>
      <w:r w:rsidDel="00000000" w:rsidR="00000000" w:rsidRPr="00000000">
        <w:rPr>
          <w:rFonts w:ascii="Times New Roman" w:cs="Times New Roman" w:eastAsia="Times New Roman" w:hAnsi="Times New Roman"/>
          <w:sz w:val="24"/>
          <w:szCs w:val="24"/>
          <w:rtl w:val="0"/>
        </w:rPr>
        <w:t xml:space="preserve">. (T. I. V. I.). Buenos aires: Siglo XXI Editores.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vistaeixo.ifb.edu.br/index.php/revistaeixo/about/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