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054A" w14:textId="0EB40205" w:rsidR="00EC27A8" w:rsidRDefault="00EC27A8" w:rsidP="00EC27A8">
      <w:pPr>
        <w:rPr>
          <w:b/>
          <w:bCs/>
        </w:rPr>
      </w:pPr>
      <w:r w:rsidRPr="00EC27A8">
        <w:rPr>
          <w:b/>
          <w:bCs/>
        </w:rPr>
        <w:t xml:space="preserve">Approach and Main </w:t>
      </w:r>
      <w:r>
        <w:rPr>
          <w:rFonts w:hint="eastAsia"/>
          <w:b/>
          <w:bCs/>
        </w:rPr>
        <w:t>Results</w:t>
      </w:r>
      <w:r w:rsidRPr="00EC27A8">
        <w:rPr>
          <w:b/>
          <w:bCs/>
        </w:rPr>
        <w:t xml:space="preserve"> for RQ1: </w:t>
      </w:r>
      <w:r>
        <w:rPr>
          <w:rFonts w:hint="eastAsia"/>
          <w:b/>
          <w:bCs/>
        </w:rPr>
        <w:t xml:space="preserve">Vessel </w:t>
      </w:r>
      <w:r w:rsidRPr="00EC27A8">
        <w:rPr>
          <w:b/>
          <w:bCs/>
        </w:rPr>
        <w:t>Cost Structure in Relation to Vessel Size</w:t>
      </w:r>
    </w:p>
    <w:p w14:paraId="2348CDC5" w14:textId="77777777" w:rsidR="00076CCE" w:rsidRPr="00EC27A8" w:rsidRDefault="00076CCE" w:rsidP="00EC27A8">
      <w:pPr>
        <w:rPr>
          <w:b/>
          <w:bCs/>
        </w:rPr>
      </w:pPr>
    </w:p>
    <w:p w14:paraId="284AAAF2" w14:textId="2DAED807" w:rsidR="00EC27A8" w:rsidRPr="00EC27A8" w:rsidRDefault="00EC27A8" w:rsidP="00EC27A8">
      <w:r w:rsidRPr="00EC27A8">
        <w:t xml:space="preserve">This section </w:t>
      </w:r>
      <w:r>
        <w:rPr>
          <w:rFonts w:hint="eastAsia"/>
        </w:rPr>
        <w:t>discusses</w:t>
      </w:r>
      <w:r w:rsidRPr="00EC27A8">
        <w:t xml:space="preserve"> the impact of vessel size on </w:t>
      </w:r>
      <w:r>
        <w:rPr>
          <w:rFonts w:hint="eastAsia"/>
        </w:rPr>
        <w:t xml:space="preserve">vessel </w:t>
      </w:r>
      <w:r w:rsidRPr="00EC27A8">
        <w:t xml:space="preserve">cost structure. Simulations were conducted using the Antwerp Port Model Program to calculate vessel costs </w:t>
      </w:r>
      <w:r>
        <w:rPr>
          <w:rFonts w:hint="eastAsia"/>
        </w:rPr>
        <w:t>of</w:t>
      </w:r>
      <w:r w:rsidRPr="00EC27A8">
        <w:t xml:space="preserve"> different vessel sizes. A 23,964 TEU vessel was selected as the baseline, alongside six smaller vessels, including one LNG vessel.</w:t>
      </w:r>
    </w:p>
    <w:p w14:paraId="538CCF31" w14:textId="1612A3FD" w:rsidR="00EC27A8" w:rsidRDefault="00EC27A8" w:rsidP="00EC27A8">
      <w:r w:rsidRPr="00EC27A8">
        <w:t xml:space="preserve">The initial cost analysis is based on a single loop voyage, starting from Ningbo Port, traveling west to deliver goods to Western Europe, and </w:t>
      </w:r>
      <w:r w:rsidR="006F4CA6">
        <w:rPr>
          <w:rFonts w:hint="eastAsia"/>
        </w:rPr>
        <w:t>eventually</w:t>
      </w:r>
      <w:r w:rsidRPr="00EC27A8">
        <w:t xml:space="preserve"> returning to China. The total cost per loop is calculated by summing the total variable cost (including running costs, voyage costs, and port charges), port handling costs, and fixed costs. Figures 1 and 2 illustrate the total cost per loop and the cost structure. </w:t>
      </w:r>
      <w:r w:rsidR="007B1DC4">
        <w:rPr>
          <w:rFonts w:hint="eastAsia"/>
        </w:rPr>
        <w:t>Apart from</w:t>
      </w:r>
      <w:r w:rsidRPr="00EC27A8">
        <w:t xml:space="preserve"> the 14,800 TEU LNG vessel, total loop costs exhibit an almost linear increase with vessel size. The cost components follow a similar trend. </w:t>
      </w:r>
      <w:proofErr w:type="gramStart"/>
      <w:r w:rsidR="007B1DC4">
        <w:rPr>
          <w:rFonts w:hint="eastAsia"/>
        </w:rPr>
        <w:t>Not like</w:t>
      </w:r>
      <w:proofErr w:type="gramEnd"/>
      <w:r w:rsidR="007B1DC4">
        <w:rPr>
          <w:rFonts w:hint="eastAsia"/>
        </w:rPr>
        <w:t xml:space="preserve"> other vessels</w:t>
      </w:r>
      <w:r w:rsidRPr="00EC27A8">
        <w:t xml:space="preserve">, the LNG vessel </w:t>
      </w:r>
      <w:r w:rsidR="007B1DC4">
        <w:rPr>
          <w:rFonts w:hint="eastAsia"/>
        </w:rPr>
        <w:t>has</w:t>
      </w:r>
      <w:r w:rsidRPr="00EC27A8">
        <w:t xml:space="preserve"> higher costs due to a substantial rise in voyage costs, which will be </w:t>
      </w:r>
      <w:r w:rsidR="007B1DC4">
        <w:rPr>
          <w:rFonts w:hint="eastAsia"/>
        </w:rPr>
        <w:t>discuss</w:t>
      </w:r>
      <w:r w:rsidRPr="00EC27A8">
        <w:t xml:space="preserve">ed in the next section. Other cost components follow a growth pattern </w:t>
      </w:r>
      <w:proofErr w:type="gramStart"/>
      <w:r w:rsidRPr="00EC27A8">
        <w:t>similar to</w:t>
      </w:r>
      <w:proofErr w:type="gramEnd"/>
      <w:r w:rsidRPr="00EC27A8">
        <w:t xml:space="preserve"> the 14,990 TEU vessel, which has a comparable weight.</w:t>
      </w:r>
    </w:p>
    <w:p w14:paraId="6ED856FD" w14:textId="77777777" w:rsidR="003319A9" w:rsidRDefault="003319A9" w:rsidP="00EC27A8"/>
    <w:p w14:paraId="756EE93A" w14:textId="16B74E31" w:rsidR="003319A9" w:rsidRDefault="003319A9" w:rsidP="00EC27A8">
      <w:pPr>
        <w:rPr>
          <w:noProof/>
        </w:rPr>
      </w:pPr>
      <w:r>
        <w:rPr>
          <w:noProof/>
        </w:rPr>
        <w:drawing>
          <wp:inline distT="0" distB="0" distL="0" distR="0" wp14:anchorId="028B39B6" wp14:editId="2115E907">
            <wp:extent cx="2598395" cy="1381125"/>
            <wp:effectExtent l="0" t="0" r="0" b="0"/>
            <wp:docPr id="13370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2204" cy="1399095"/>
                    </a:xfrm>
                    <a:prstGeom prst="rect">
                      <a:avLst/>
                    </a:prstGeom>
                    <a:noFill/>
                  </pic:spPr>
                </pic:pic>
              </a:graphicData>
            </a:graphic>
          </wp:inline>
        </w:drawing>
      </w:r>
      <w:r w:rsidRPr="003319A9">
        <w:rPr>
          <w:noProof/>
        </w:rPr>
        <w:t xml:space="preserve"> </w:t>
      </w:r>
      <w:r>
        <w:rPr>
          <w:noProof/>
        </w:rPr>
        <w:drawing>
          <wp:inline distT="0" distB="0" distL="0" distR="0" wp14:anchorId="48B07FFA" wp14:editId="6EFA5ECF">
            <wp:extent cx="2595562" cy="1380912"/>
            <wp:effectExtent l="0" t="0" r="0" b="0"/>
            <wp:docPr id="1227229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3701" cy="1395883"/>
                    </a:xfrm>
                    <a:prstGeom prst="rect">
                      <a:avLst/>
                    </a:prstGeom>
                    <a:noFill/>
                  </pic:spPr>
                </pic:pic>
              </a:graphicData>
            </a:graphic>
          </wp:inline>
        </w:drawing>
      </w:r>
    </w:p>
    <w:p w14:paraId="262A5313" w14:textId="55E15AC9" w:rsidR="003319A9" w:rsidRPr="007E5240" w:rsidRDefault="003319A9" w:rsidP="00EC27A8">
      <w:pPr>
        <w:rPr>
          <w:rFonts w:hint="eastAsia"/>
          <w:noProof/>
          <w:sz w:val="21"/>
          <w:szCs w:val="21"/>
        </w:rPr>
      </w:pP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rFonts w:hint="eastAsia"/>
          <w:noProof/>
          <w:sz w:val="21"/>
          <w:szCs w:val="21"/>
        </w:rPr>
        <w:t>Figure 1</w:t>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noProof/>
          <w:sz w:val="21"/>
          <w:szCs w:val="21"/>
        </w:rPr>
        <w:tab/>
      </w:r>
      <w:r w:rsidRPr="007E5240">
        <w:rPr>
          <w:rFonts w:hint="eastAsia"/>
          <w:noProof/>
          <w:sz w:val="21"/>
          <w:szCs w:val="21"/>
        </w:rPr>
        <w:t>Figure 2</w:t>
      </w:r>
    </w:p>
    <w:p w14:paraId="3148A43C" w14:textId="77777777" w:rsidR="003319A9" w:rsidRPr="00EC27A8" w:rsidRDefault="003319A9" w:rsidP="00EC27A8">
      <w:pPr>
        <w:rPr>
          <w:rFonts w:hint="eastAsia"/>
        </w:rPr>
      </w:pPr>
    </w:p>
    <w:p w14:paraId="5BF57D5D" w14:textId="77777777" w:rsidR="00EC27A8" w:rsidRDefault="00EC27A8" w:rsidP="00EC27A8">
      <w:r w:rsidRPr="00EC27A8">
        <w:t>Since variations in vessel size affect cruising speed, port time, and other operational factors, the number of loops completed per year varies across vessel sizes. Therefore, the annual total cost and cost structure were also analyzed. As shown in Figures 3 and 4, the annual cost follows a similar pattern to the per-loop cost. With increasing vessel size, the proportion of voyage costs in the total cost slightly decreases, offset by a minor increase in port handling costs.</w:t>
      </w:r>
    </w:p>
    <w:p w14:paraId="5ED900DC" w14:textId="77777777" w:rsidR="003319A9" w:rsidRDefault="003319A9" w:rsidP="00EC27A8"/>
    <w:p w14:paraId="77D9791E" w14:textId="6A12CEAB" w:rsidR="003319A9" w:rsidRDefault="003319A9" w:rsidP="00EC27A8">
      <w:r>
        <w:rPr>
          <w:noProof/>
        </w:rPr>
        <w:drawing>
          <wp:inline distT="0" distB="0" distL="0" distR="0" wp14:anchorId="4DA54F79" wp14:editId="080774BB">
            <wp:extent cx="2633663" cy="1401182"/>
            <wp:effectExtent l="0" t="0" r="0" b="8890"/>
            <wp:docPr id="5117481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319" cy="1419088"/>
                    </a:xfrm>
                    <a:prstGeom prst="rect">
                      <a:avLst/>
                    </a:prstGeom>
                    <a:noFill/>
                  </pic:spPr>
                </pic:pic>
              </a:graphicData>
            </a:graphic>
          </wp:inline>
        </w:drawing>
      </w:r>
      <w:r>
        <w:rPr>
          <w:noProof/>
        </w:rPr>
        <w:drawing>
          <wp:inline distT="0" distB="0" distL="0" distR="0" wp14:anchorId="0757A2BE" wp14:editId="7CABBB06">
            <wp:extent cx="2638425" cy="1402429"/>
            <wp:effectExtent l="0" t="0" r="0" b="7620"/>
            <wp:docPr id="13622094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583" cy="1418459"/>
                    </a:xfrm>
                    <a:prstGeom prst="rect">
                      <a:avLst/>
                    </a:prstGeom>
                    <a:noFill/>
                  </pic:spPr>
                </pic:pic>
              </a:graphicData>
            </a:graphic>
          </wp:inline>
        </w:drawing>
      </w:r>
    </w:p>
    <w:p w14:paraId="76E24C0E" w14:textId="214FA8B2" w:rsidR="003319A9" w:rsidRPr="007E5240" w:rsidRDefault="003319A9" w:rsidP="00EC27A8">
      <w:pPr>
        <w:rPr>
          <w:rFonts w:hint="eastAsia"/>
          <w:sz w:val="21"/>
          <w:szCs w:val="21"/>
        </w:rPr>
      </w:pPr>
      <w:r w:rsidRPr="007E5240">
        <w:rPr>
          <w:sz w:val="21"/>
          <w:szCs w:val="21"/>
        </w:rPr>
        <w:tab/>
      </w:r>
      <w:r w:rsidRPr="007E5240">
        <w:rPr>
          <w:sz w:val="21"/>
          <w:szCs w:val="21"/>
        </w:rPr>
        <w:tab/>
      </w:r>
      <w:r w:rsidRPr="007E5240">
        <w:rPr>
          <w:sz w:val="21"/>
          <w:szCs w:val="21"/>
        </w:rPr>
        <w:tab/>
      </w:r>
      <w:r w:rsidRPr="007E5240">
        <w:rPr>
          <w:sz w:val="21"/>
          <w:szCs w:val="21"/>
        </w:rPr>
        <w:tab/>
      </w:r>
      <w:r w:rsidRPr="007E5240">
        <w:rPr>
          <w:rFonts w:hint="eastAsia"/>
          <w:sz w:val="21"/>
          <w:szCs w:val="21"/>
        </w:rPr>
        <w:t>Figure 3</w:t>
      </w:r>
      <w:r w:rsidRPr="007E5240">
        <w:rPr>
          <w:sz w:val="21"/>
          <w:szCs w:val="21"/>
        </w:rPr>
        <w:tab/>
      </w:r>
      <w:r w:rsidRPr="007E5240">
        <w:rPr>
          <w:sz w:val="21"/>
          <w:szCs w:val="21"/>
        </w:rPr>
        <w:tab/>
      </w:r>
      <w:r w:rsidRPr="007E5240">
        <w:rPr>
          <w:sz w:val="21"/>
          <w:szCs w:val="21"/>
        </w:rPr>
        <w:tab/>
      </w:r>
      <w:r w:rsidRPr="007E5240">
        <w:rPr>
          <w:sz w:val="21"/>
          <w:szCs w:val="21"/>
        </w:rPr>
        <w:tab/>
      </w:r>
      <w:r w:rsidRPr="007E5240">
        <w:rPr>
          <w:sz w:val="21"/>
          <w:szCs w:val="21"/>
        </w:rPr>
        <w:tab/>
      </w:r>
      <w:r w:rsidRPr="007E5240">
        <w:rPr>
          <w:sz w:val="21"/>
          <w:szCs w:val="21"/>
        </w:rPr>
        <w:tab/>
      </w:r>
      <w:r w:rsidRPr="007E5240">
        <w:rPr>
          <w:sz w:val="21"/>
          <w:szCs w:val="21"/>
        </w:rPr>
        <w:tab/>
      </w:r>
      <w:r w:rsidRPr="007E5240">
        <w:rPr>
          <w:sz w:val="21"/>
          <w:szCs w:val="21"/>
        </w:rPr>
        <w:tab/>
      </w:r>
      <w:r w:rsidRPr="007E5240">
        <w:rPr>
          <w:sz w:val="21"/>
          <w:szCs w:val="21"/>
        </w:rPr>
        <w:tab/>
      </w:r>
      <w:r w:rsidRPr="007E5240">
        <w:rPr>
          <w:rFonts w:hint="eastAsia"/>
          <w:sz w:val="21"/>
          <w:szCs w:val="21"/>
        </w:rPr>
        <w:t>Figure 4</w:t>
      </w:r>
    </w:p>
    <w:p w14:paraId="2D53FA55" w14:textId="77777777" w:rsidR="003319A9" w:rsidRPr="00EC27A8" w:rsidRDefault="003319A9" w:rsidP="00EC27A8">
      <w:pPr>
        <w:rPr>
          <w:rFonts w:hint="eastAsia"/>
        </w:rPr>
      </w:pPr>
    </w:p>
    <w:p w14:paraId="73D74E92" w14:textId="77777777" w:rsidR="00EC27A8" w:rsidRDefault="00EC27A8" w:rsidP="00EC27A8">
      <w:r w:rsidRPr="00EC27A8">
        <w:t xml:space="preserve">Figure 5 illustrates the total cost per TEU. Excluding the LNG vessel, the cost per TEU </w:t>
      </w:r>
      <w:r w:rsidRPr="00EC27A8">
        <w:lastRenderedPageBreak/>
        <w:t>decreases as vessel size increases, with the rate of decline slowing as size grows. This reduction is primarily driven by a sharp drop in voyage cost per TEU, along with slight decreases in running and fixed costs. In contrast, port handling costs remain stable.</w:t>
      </w:r>
    </w:p>
    <w:p w14:paraId="2A48E5B2" w14:textId="77777777" w:rsidR="007E5240" w:rsidRDefault="007E5240" w:rsidP="00EC27A8"/>
    <w:p w14:paraId="34AFACEB" w14:textId="19144254" w:rsidR="007E5240" w:rsidRDefault="007E5240" w:rsidP="007E5240">
      <w:pPr>
        <w:jc w:val="center"/>
      </w:pPr>
      <w:r>
        <w:rPr>
          <w:noProof/>
        </w:rPr>
        <w:drawing>
          <wp:inline distT="0" distB="0" distL="0" distR="0" wp14:anchorId="72F13EFE" wp14:editId="100BB91D">
            <wp:extent cx="2486025" cy="1320045"/>
            <wp:effectExtent l="0" t="0" r="0" b="0"/>
            <wp:docPr id="159452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4895" cy="1324755"/>
                    </a:xfrm>
                    <a:prstGeom prst="rect">
                      <a:avLst/>
                    </a:prstGeom>
                    <a:noFill/>
                  </pic:spPr>
                </pic:pic>
              </a:graphicData>
            </a:graphic>
          </wp:inline>
        </w:drawing>
      </w:r>
    </w:p>
    <w:p w14:paraId="256F93BE" w14:textId="1796D23A" w:rsidR="007E5240" w:rsidRDefault="007E5240" w:rsidP="007E5240">
      <w:pPr>
        <w:jc w:val="center"/>
        <w:rPr>
          <w:rFonts w:hint="eastAsia"/>
        </w:rPr>
      </w:pPr>
      <w:r>
        <w:rPr>
          <w:rFonts w:hint="eastAsia"/>
        </w:rPr>
        <w:t>Figure 5</w:t>
      </w:r>
    </w:p>
    <w:p w14:paraId="7EC50746" w14:textId="77777777" w:rsidR="007E5240" w:rsidRPr="00EC27A8" w:rsidRDefault="007E5240" w:rsidP="00EC27A8">
      <w:pPr>
        <w:rPr>
          <w:rFonts w:hint="eastAsia"/>
        </w:rPr>
      </w:pPr>
    </w:p>
    <w:p w14:paraId="3C23B5CB" w14:textId="175E1F75" w:rsidR="00EC27A8" w:rsidRPr="00EC27A8" w:rsidRDefault="00EC27A8" w:rsidP="00EC27A8">
      <w:r w:rsidRPr="00EC27A8">
        <w:t xml:space="preserve">Beyond total cost variations, running and voyage costs were examined to identify cost patterns. Running costs consist of management, repair and maintenance, insurance, stores, and </w:t>
      </w:r>
      <w:r w:rsidR="00E106C6">
        <w:rPr>
          <w:rFonts w:hint="eastAsia"/>
        </w:rPr>
        <w:t>manning</w:t>
      </w:r>
      <w:r w:rsidRPr="00EC27A8">
        <w:t xml:space="preserve"> costs. As shown in Figure 6, insurance and </w:t>
      </w:r>
      <w:r w:rsidR="00E106C6">
        <w:rPr>
          <w:rFonts w:hint="eastAsia"/>
        </w:rPr>
        <w:t>manning</w:t>
      </w:r>
      <w:r w:rsidRPr="00EC27A8">
        <w:t xml:space="preserve"> costs account for the largest share of running costs. Insurance costs increase steadily with vessel size, while crew and management costs decrease.</w:t>
      </w:r>
      <w:r w:rsidR="00E106C6">
        <w:rPr>
          <w:rFonts w:hint="eastAsia"/>
        </w:rPr>
        <w:t xml:space="preserve"> </w:t>
      </w:r>
      <w:r w:rsidRPr="00EC27A8">
        <w:t>Voyage costs include fuel costs (in port, ECA, and non-ECA zones), lubricant oil costs, external costs, ETS costs, and can</w:t>
      </w:r>
      <w:r w:rsidR="00E106C6">
        <w:rPr>
          <w:rFonts w:hint="eastAsia"/>
        </w:rPr>
        <w:t>nel</w:t>
      </w:r>
      <w:r w:rsidRPr="00EC27A8">
        <w:t xml:space="preserve"> </w:t>
      </w:r>
      <w:r w:rsidR="00E106C6">
        <w:rPr>
          <w:rFonts w:hint="eastAsia"/>
        </w:rPr>
        <w:t>costs</w:t>
      </w:r>
      <w:r w:rsidRPr="00EC27A8">
        <w:t xml:space="preserve">. Figure 7 highlights that </w:t>
      </w:r>
      <w:r w:rsidR="00E106C6">
        <w:rPr>
          <w:rFonts w:hint="eastAsia"/>
        </w:rPr>
        <w:t>cannel costs</w:t>
      </w:r>
      <w:r w:rsidRPr="00EC27A8">
        <w:t xml:space="preserve"> and non-ECA fuel costs are the most </w:t>
      </w:r>
      <w:r w:rsidR="00E106C6">
        <w:rPr>
          <w:rFonts w:hint="eastAsia"/>
        </w:rPr>
        <w:t>prominent</w:t>
      </w:r>
      <w:r w:rsidRPr="00EC27A8">
        <w:t xml:space="preserve"> contributors. As vessel size increases, </w:t>
      </w:r>
      <w:r w:rsidR="00E106C6">
        <w:rPr>
          <w:rFonts w:hint="eastAsia"/>
        </w:rPr>
        <w:t>cannel costs</w:t>
      </w:r>
      <w:r w:rsidRPr="00EC27A8">
        <w:t xml:space="preserve"> rise while non-ECA fuel costs decline. Additionally, the exceptionally high non-ECA fuel cost is the primary driver of the LNG vessel’s elevated voyage cost.</w:t>
      </w:r>
    </w:p>
    <w:p w14:paraId="4101F43A" w14:textId="52EFA8A1" w:rsidR="00EC27A8" w:rsidRPr="00EC27A8" w:rsidRDefault="00EC27A8" w:rsidP="00EC27A8"/>
    <w:p w14:paraId="07822B5E" w14:textId="164D9E4A" w:rsidR="00EC27A8" w:rsidRDefault="00D543F2">
      <w:r>
        <w:rPr>
          <w:noProof/>
        </w:rPr>
        <w:drawing>
          <wp:inline distT="0" distB="0" distL="0" distR="0" wp14:anchorId="2F22C600" wp14:editId="10D52D8E">
            <wp:extent cx="2589436" cy="1376362"/>
            <wp:effectExtent l="0" t="0" r="1905" b="0"/>
            <wp:docPr id="5764631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248" cy="1394334"/>
                    </a:xfrm>
                    <a:prstGeom prst="rect">
                      <a:avLst/>
                    </a:prstGeom>
                    <a:noFill/>
                  </pic:spPr>
                </pic:pic>
              </a:graphicData>
            </a:graphic>
          </wp:inline>
        </w:drawing>
      </w:r>
      <w:r w:rsidRPr="00D543F2">
        <w:rPr>
          <w:noProof/>
        </w:rPr>
        <w:t xml:space="preserve"> </w:t>
      </w:r>
      <w:r>
        <w:rPr>
          <w:noProof/>
        </w:rPr>
        <w:drawing>
          <wp:inline distT="0" distB="0" distL="0" distR="0" wp14:anchorId="0E458F12" wp14:editId="6D68A5C4">
            <wp:extent cx="2595563" cy="1378208"/>
            <wp:effectExtent l="0" t="0" r="0" b="0"/>
            <wp:docPr id="20562133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965" cy="1394351"/>
                    </a:xfrm>
                    <a:prstGeom prst="rect">
                      <a:avLst/>
                    </a:prstGeom>
                    <a:noFill/>
                  </pic:spPr>
                </pic:pic>
              </a:graphicData>
            </a:graphic>
          </wp:inline>
        </w:drawing>
      </w:r>
    </w:p>
    <w:p w14:paraId="072302A6" w14:textId="32845584" w:rsidR="007E5240" w:rsidRDefault="00D543F2">
      <w:pPr>
        <w:rPr>
          <w:rFonts w:hint="eastAsia"/>
        </w:rPr>
      </w:pPr>
      <w:r>
        <w:tab/>
      </w:r>
      <w:r>
        <w:tab/>
      </w:r>
      <w:r>
        <w:tab/>
      </w:r>
      <w:r>
        <w:tab/>
      </w:r>
      <w:r>
        <w:rPr>
          <w:rFonts w:hint="eastAsia"/>
        </w:rPr>
        <w:t>Figure 6</w:t>
      </w:r>
      <w:r>
        <w:tab/>
      </w:r>
      <w:r>
        <w:tab/>
      </w:r>
      <w:r>
        <w:tab/>
      </w:r>
      <w:r>
        <w:tab/>
      </w:r>
      <w:r>
        <w:tab/>
      </w:r>
      <w:r>
        <w:tab/>
      </w:r>
      <w:r>
        <w:tab/>
      </w:r>
      <w:r>
        <w:tab/>
      </w:r>
      <w:r>
        <w:tab/>
      </w:r>
      <w:r>
        <w:rPr>
          <w:rFonts w:hint="eastAsia"/>
        </w:rPr>
        <w:t>Figure 7</w:t>
      </w:r>
    </w:p>
    <w:p w14:paraId="1278A862" w14:textId="77777777" w:rsidR="007E5240" w:rsidRPr="002A7F50" w:rsidRDefault="007E5240">
      <w:pPr>
        <w:rPr>
          <w:rFonts w:hint="eastAsia"/>
        </w:rPr>
      </w:pPr>
    </w:p>
    <w:sectPr w:rsidR="007E5240" w:rsidRPr="002A7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F1"/>
    <w:rsid w:val="00076CCE"/>
    <w:rsid w:val="000A43F1"/>
    <w:rsid w:val="0015083E"/>
    <w:rsid w:val="002A7F50"/>
    <w:rsid w:val="003319A9"/>
    <w:rsid w:val="00673344"/>
    <w:rsid w:val="006F4CA6"/>
    <w:rsid w:val="007B1DC4"/>
    <w:rsid w:val="007E5240"/>
    <w:rsid w:val="00817384"/>
    <w:rsid w:val="00985376"/>
    <w:rsid w:val="00A04F72"/>
    <w:rsid w:val="00AB3485"/>
    <w:rsid w:val="00AB74FE"/>
    <w:rsid w:val="00D543F2"/>
    <w:rsid w:val="00E106C6"/>
    <w:rsid w:val="00EC27A8"/>
    <w:rsid w:val="00F86BEE"/>
    <w:rsid w:val="00FD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E015"/>
  <w15:chartTrackingRefBased/>
  <w15:docId w15:val="{5126CA2D-007D-4956-9039-80870BD1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43F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43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43F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43F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43F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43F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43F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43F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43F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43F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43F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43F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43F1"/>
    <w:rPr>
      <w:rFonts w:cstheme="majorBidi"/>
      <w:color w:val="0F4761" w:themeColor="accent1" w:themeShade="BF"/>
      <w:sz w:val="28"/>
      <w:szCs w:val="28"/>
    </w:rPr>
  </w:style>
  <w:style w:type="character" w:customStyle="1" w:styleId="50">
    <w:name w:val="标题 5 字符"/>
    <w:basedOn w:val="a0"/>
    <w:link w:val="5"/>
    <w:uiPriority w:val="9"/>
    <w:semiHidden/>
    <w:rsid w:val="000A43F1"/>
    <w:rPr>
      <w:rFonts w:cstheme="majorBidi"/>
      <w:color w:val="0F4761" w:themeColor="accent1" w:themeShade="BF"/>
      <w:sz w:val="24"/>
      <w:szCs w:val="24"/>
    </w:rPr>
  </w:style>
  <w:style w:type="character" w:customStyle="1" w:styleId="60">
    <w:name w:val="标题 6 字符"/>
    <w:basedOn w:val="a0"/>
    <w:link w:val="6"/>
    <w:uiPriority w:val="9"/>
    <w:semiHidden/>
    <w:rsid w:val="000A43F1"/>
    <w:rPr>
      <w:rFonts w:cstheme="majorBidi"/>
      <w:b/>
      <w:bCs/>
      <w:color w:val="0F4761" w:themeColor="accent1" w:themeShade="BF"/>
    </w:rPr>
  </w:style>
  <w:style w:type="character" w:customStyle="1" w:styleId="70">
    <w:name w:val="标题 7 字符"/>
    <w:basedOn w:val="a0"/>
    <w:link w:val="7"/>
    <w:uiPriority w:val="9"/>
    <w:semiHidden/>
    <w:rsid w:val="000A43F1"/>
    <w:rPr>
      <w:rFonts w:cstheme="majorBidi"/>
      <w:b/>
      <w:bCs/>
      <w:color w:val="595959" w:themeColor="text1" w:themeTint="A6"/>
    </w:rPr>
  </w:style>
  <w:style w:type="character" w:customStyle="1" w:styleId="80">
    <w:name w:val="标题 8 字符"/>
    <w:basedOn w:val="a0"/>
    <w:link w:val="8"/>
    <w:uiPriority w:val="9"/>
    <w:semiHidden/>
    <w:rsid w:val="000A43F1"/>
    <w:rPr>
      <w:rFonts w:cstheme="majorBidi"/>
      <w:color w:val="595959" w:themeColor="text1" w:themeTint="A6"/>
    </w:rPr>
  </w:style>
  <w:style w:type="character" w:customStyle="1" w:styleId="90">
    <w:name w:val="标题 9 字符"/>
    <w:basedOn w:val="a0"/>
    <w:link w:val="9"/>
    <w:uiPriority w:val="9"/>
    <w:semiHidden/>
    <w:rsid w:val="000A43F1"/>
    <w:rPr>
      <w:rFonts w:eastAsiaTheme="majorEastAsia" w:cstheme="majorBidi"/>
      <w:color w:val="595959" w:themeColor="text1" w:themeTint="A6"/>
    </w:rPr>
  </w:style>
  <w:style w:type="paragraph" w:styleId="a3">
    <w:name w:val="Title"/>
    <w:basedOn w:val="a"/>
    <w:next w:val="a"/>
    <w:link w:val="a4"/>
    <w:uiPriority w:val="10"/>
    <w:qFormat/>
    <w:rsid w:val="000A43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43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43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43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43F1"/>
    <w:pPr>
      <w:spacing w:before="160" w:after="160"/>
      <w:jc w:val="center"/>
    </w:pPr>
    <w:rPr>
      <w:i/>
      <w:iCs/>
      <w:color w:val="404040" w:themeColor="text1" w:themeTint="BF"/>
    </w:rPr>
  </w:style>
  <w:style w:type="character" w:customStyle="1" w:styleId="a8">
    <w:name w:val="引用 字符"/>
    <w:basedOn w:val="a0"/>
    <w:link w:val="a7"/>
    <w:uiPriority w:val="29"/>
    <w:rsid w:val="000A43F1"/>
    <w:rPr>
      <w:i/>
      <w:iCs/>
      <w:color w:val="404040" w:themeColor="text1" w:themeTint="BF"/>
    </w:rPr>
  </w:style>
  <w:style w:type="paragraph" w:styleId="a9">
    <w:name w:val="List Paragraph"/>
    <w:basedOn w:val="a"/>
    <w:uiPriority w:val="34"/>
    <w:qFormat/>
    <w:rsid w:val="000A43F1"/>
    <w:pPr>
      <w:ind w:left="720"/>
      <w:contextualSpacing/>
    </w:pPr>
  </w:style>
  <w:style w:type="character" w:styleId="aa">
    <w:name w:val="Intense Emphasis"/>
    <w:basedOn w:val="a0"/>
    <w:uiPriority w:val="21"/>
    <w:qFormat/>
    <w:rsid w:val="000A43F1"/>
    <w:rPr>
      <w:i/>
      <w:iCs/>
      <w:color w:val="0F4761" w:themeColor="accent1" w:themeShade="BF"/>
    </w:rPr>
  </w:style>
  <w:style w:type="paragraph" w:styleId="ab">
    <w:name w:val="Intense Quote"/>
    <w:basedOn w:val="a"/>
    <w:next w:val="a"/>
    <w:link w:val="ac"/>
    <w:uiPriority w:val="30"/>
    <w:qFormat/>
    <w:rsid w:val="000A4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43F1"/>
    <w:rPr>
      <w:i/>
      <w:iCs/>
      <w:color w:val="0F4761" w:themeColor="accent1" w:themeShade="BF"/>
    </w:rPr>
  </w:style>
  <w:style w:type="character" w:styleId="ad">
    <w:name w:val="Intense Reference"/>
    <w:basedOn w:val="a0"/>
    <w:uiPriority w:val="32"/>
    <w:qFormat/>
    <w:rsid w:val="000A4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215">
      <w:bodyDiv w:val="1"/>
      <w:marLeft w:val="0"/>
      <w:marRight w:val="0"/>
      <w:marTop w:val="0"/>
      <w:marBottom w:val="0"/>
      <w:divBdr>
        <w:top w:val="none" w:sz="0" w:space="0" w:color="auto"/>
        <w:left w:val="none" w:sz="0" w:space="0" w:color="auto"/>
        <w:bottom w:val="none" w:sz="0" w:space="0" w:color="auto"/>
        <w:right w:val="none" w:sz="0" w:space="0" w:color="auto"/>
      </w:divBdr>
      <w:divsChild>
        <w:div w:id="807825436">
          <w:marLeft w:val="0"/>
          <w:marRight w:val="0"/>
          <w:marTop w:val="0"/>
          <w:marBottom w:val="0"/>
          <w:divBdr>
            <w:top w:val="none" w:sz="0" w:space="0" w:color="auto"/>
            <w:left w:val="none" w:sz="0" w:space="0" w:color="auto"/>
            <w:bottom w:val="none" w:sz="0" w:space="0" w:color="auto"/>
            <w:right w:val="none" w:sz="0" w:space="0" w:color="auto"/>
          </w:divBdr>
          <w:divsChild>
            <w:div w:id="909654405">
              <w:marLeft w:val="0"/>
              <w:marRight w:val="0"/>
              <w:marTop w:val="0"/>
              <w:marBottom w:val="0"/>
              <w:divBdr>
                <w:top w:val="none" w:sz="0" w:space="0" w:color="auto"/>
                <w:left w:val="none" w:sz="0" w:space="0" w:color="auto"/>
                <w:bottom w:val="none" w:sz="0" w:space="0" w:color="auto"/>
                <w:right w:val="none" w:sz="0" w:space="0" w:color="auto"/>
              </w:divBdr>
              <w:divsChild>
                <w:div w:id="396784856">
                  <w:marLeft w:val="0"/>
                  <w:marRight w:val="0"/>
                  <w:marTop w:val="0"/>
                  <w:marBottom w:val="0"/>
                  <w:divBdr>
                    <w:top w:val="none" w:sz="0" w:space="0" w:color="auto"/>
                    <w:left w:val="none" w:sz="0" w:space="0" w:color="auto"/>
                    <w:bottom w:val="none" w:sz="0" w:space="0" w:color="auto"/>
                    <w:right w:val="none" w:sz="0" w:space="0" w:color="auto"/>
                  </w:divBdr>
                  <w:divsChild>
                    <w:div w:id="18754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8790">
          <w:marLeft w:val="0"/>
          <w:marRight w:val="0"/>
          <w:marTop w:val="0"/>
          <w:marBottom w:val="0"/>
          <w:divBdr>
            <w:top w:val="none" w:sz="0" w:space="0" w:color="auto"/>
            <w:left w:val="none" w:sz="0" w:space="0" w:color="auto"/>
            <w:bottom w:val="none" w:sz="0" w:space="0" w:color="auto"/>
            <w:right w:val="none" w:sz="0" w:space="0" w:color="auto"/>
          </w:divBdr>
          <w:divsChild>
            <w:div w:id="142551934">
              <w:marLeft w:val="0"/>
              <w:marRight w:val="0"/>
              <w:marTop w:val="0"/>
              <w:marBottom w:val="0"/>
              <w:divBdr>
                <w:top w:val="none" w:sz="0" w:space="0" w:color="auto"/>
                <w:left w:val="none" w:sz="0" w:space="0" w:color="auto"/>
                <w:bottom w:val="none" w:sz="0" w:space="0" w:color="auto"/>
                <w:right w:val="none" w:sz="0" w:space="0" w:color="auto"/>
              </w:divBdr>
              <w:divsChild>
                <w:div w:id="1035691102">
                  <w:marLeft w:val="0"/>
                  <w:marRight w:val="0"/>
                  <w:marTop w:val="0"/>
                  <w:marBottom w:val="0"/>
                  <w:divBdr>
                    <w:top w:val="none" w:sz="0" w:space="0" w:color="auto"/>
                    <w:left w:val="none" w:sz="0" w:space="0" w:color="auto"/>
                    <w:bottom w:val="none" w:sz="0" w:space="0" w:color="auto"/>
                    <w:right w:val="none" w:sz="0" w:space="0" w:color="auto"/>
                  </w:divBdr>
                  <w:divsChild>
                    <w:div w:id="1121411631">
                      <w:marLeft w:val="0"/>
                      <w:marRight w:val="0"/>
                      <w:marTop w:val="0"/>
                      <w:marBottom w:val="0"/>
                      <w:divBdr>
                        <w:top w:val="none" w:sz="0" w:space="0" w:color="auto"/>
                        <w:left w:val="none" w:sz="0" w:space="0" w:color="auto"/>
                        <w:bottom w:val="none" w:sz="0" w:space="0" w:color="auto"/>
                        <w:right w:val="none" w:sz="0" w:space="0" w:color="auto"/>
                      </w:divBdr>
                      <w:divsChild>
                        <w:div w:id="4713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sChild>
        <w:div w:id="1362898959">
          <w:marLeft w:val="0"/>
          <w:marRight w:val="0"/>
          <w:marTop w:val="0"/>
          <w:marBottom w:val="0"/>
          <w:divBdr>
            <w:top w:val="none" w:sz="0" w:space="0" w:color="auto"/>
            <w:left w:val="none" w:sz="0" w:space="0" w:color="auto"/>
            <w:bottom w:val="none" w:sz="0" w:space="0" w:color="auto"/>
            <w:right w:val="none" w:sz="0" w:space="0" w:color="auto"/>
          </w:divBdr>
          <w:divsChild>
            <w:div w:id="929000341">
              <w:marLeft w:val="0"/>
              <w:marRight w:val="0"/>
              <w:marTop w:val="0"/>
              <w:marBottom w:val="0"/>
              <w:divBdr>
                <w:top w:val="none" w:sz="0" w:space="0" w:color="auto"/>
                <w:left w:val="none" w:sz="0" w:space="0" w:color="auto"/>
                <w:bottom w:val="none" w:sz="0" w:space="0" w:color="auto"/>
                <w:right w:val="none" w:sz="0" w:space="0" w:color="auto"/>
              </w:divBdr>
              <w:divsChild>
                <w:div w:id="1810515631">
                  <w:marLeft w:val="0"/>
                  <w:marRight w:val="0"/>
                  <w:marTop w:val="0"/>
                  <w:marBottom w:val="0"/>
                  <w:divBdr>
                    <w:top w:val="none" w:sz="0" w:space="0" w:color="auto"/>
                    <w:left w:val="none" w:sz="0" w:space="0" w:color="auto"/>
                    <w:bottom w:val="none" w:sz="0" w:space="0" w:color="auto"/>
                    <w:right w:val="none" w:sz="0" w:space="0" w:color="auto"/>
                  </w:divBdr>
                  <w:divsChild>
                    <w:div w:id="19516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620">
          <w:marLeft w:val="0"/>
          <w:marRight w:val="0"/>
          <w:marTop w:val="0"/>
          <w:marBottom w:val="0"/>
          <w:divBdr>
            <w:top w:val="none" w:sz="0" w:space="0" w:color="auto"/>
            <w:left w:val="none" w:sz="0" w:space="0" w:color="auto"/>
            <w:bottom w:val="none" w:sz="0" w:space="0" w:color="auto"/>
            <w:right w:val="none" w:sz="0" w:space="0" w:color="auto"/>
          </w:divBdr>
          <w:divsChild>
            <w:div w:id="1499076929">
              <w:marLeft w:val="0"/>
              <w:marRight w:val="0"/>
              <w:marTop w:val="0"/>
              <w:marBottom w:val="0"/>
              <w:divBdr>
                <w:top w:val="none" w:sz="0" w:space="0" w:color="auto"/>
                <w:left w:val="none" w:sz="0" w:space="0" w:color="auto"/>
                <w:bottom w:val="none" w:sz="0" w:space="0" w:color="auto"/>
                <w:right w:val="none" w:sz="0" w:space="0" w:color="auto"/>
              </w:divBdr>
              <w:divsChild>
                <w:div w:id="253319764">
                  <w:marLeft w:val="0"/>
                  <w:marRight w:val="0"/>
                  <w:marTop w:val="0"/>
                  <w:marBottom w:val="0"/>
                  <w:divBdr>
                    <w:top w:val="none" w:sz="0" w:space="0" w:color="auto"/>
                    <w:left w:val="none" w:sz="0" w:space="0" w:color="auto"/>
                    <w:bottom w:val="none" w:sz="0" w:space="0" w:color="auto"/>
                    <w:right w:val="none" w:sz="0" w:space="0" w:color="auto"/>
                  </w:divBdr>
                  <w:divsChild>
                    <w:div w:id="1368216122">
                      <w:marLeft w:val="0"/>
                      <w:marRight w:val="0"/>
                      <w:marTop w:val="0"/>
                      <w:marBottom w:val="0"/>
                      <w:divBdr>
                        <w:top w:val="none" w:sz="0" w:space="0" w:color="auto"/>
                        <w:left w:val="none" w:sz="0" w:space="0" w:color="auto"/>
                        <w:bottom w:val="none" w:sz="0" w:space="0" w:color="auto"/>
                        <w:right w:val="none" w:sz="0" w:space="0" w:color="auto"/>
                      </w:divBdr>
                      <w:divsChild>
                        <w:div w:id="1079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Li</dc:creator>
  <cp:keywords/>
  <dc:description/>
  <cp:lastModifiedBy>Minghao Li</cp:lastModifiedBy>
  <cp:revision>6</cp:revision>
  <dcterms:created xsi:type="dcterms:W3CDTF">2025-03-16T16:51:00Z</dcterms:created>
  <dcterms:modified xsi:type="dcterms:W3CDTF">2025-03-16T21:44:00Z</dcterms:modified>
</cp:coreProperties>
</file>