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EBB7B" w14:textId="71447DC7" w:rsidR="00FF2ECA" w:rsidRPr="00864C4F" w:rsidRDefault="00FF2ECA" w:rsidP="00FF2ECA">
      <w:pPr>
        <w:rPr>
          <w:rFonts w:cs="Calibri"/>
          <w:sz w:val="22"/>
          <w:szCs w:val="22"/>
        </w:rPr>
      </w:pPr>
      <w:r w:rsidRPr="00864C4F">
        <w:rPr>
          <w:rFonts w:cs="Calibri"/>
          <w:sz w:val="22"/>
          <w:szCs w:val="22"/>
        </w:rPr>
        <w:t xml:space="preserve">With technological advancements and the rise of global trade, the shipping industry plays an increasingly important role in international cargo transportation. However, its rapid growth has also caused serious environmental problems. According to the International Maritime Organization (IMO), shipping emissions accounted for 2.89% of global human-caused emissions in 2018, </w:t>
      </w:r>
      <w:r w:rsidRPr="00864C4F">
        <w:rPr>
          <w:rFonts w:cs="Calibri"/>
          <w:sz w:val="22"/>
          <w:szCs w:val="22"/>
        </w:rPr>
        <w:t xml:space="preserve">because </w:t>
      </w:r>
      <w:r w:rsidR="00137E5C" w:rsidRPr="00864C4F">
        <w:rPr>
          <w:rFonts w:cs="Calibri"/>
          <w:sz w:val="22"/>
          <w:szCs w:val="22"/>
        </w:rPr>
        <w:t xml:space="preserve">of an increase in </w:t>
      </w:r>
      <w:r w:rsidRPr="00864C4F">
        <w:rPr>
          <w:rFonts w:cs="Calibri"/>
          <w:sz w:val="22"/>
          <w:szCs w:val="22"/>
        </w:rPr>
        <w:t>shipping activities, the number of ships, and their size.</w:t>
      </w:r>
    </w:p>
    <w:p w14:paraId="293D9C72" w14:textId="5E8E8C39" w:rsidR="00012964" w:rsidRPr="00864C4F" w:rsidRDefault="00FF2ECA" w:rsidP="00B01A6C">
      <w:pPr>
        <w:rPr>
          <w:rFonts w:cs="Calibri"/>
          <w:sz w:val="22"/>
          <w:szCs w:val="22"/>
        </w:rPr>
      </w:pPr>
      <w:r w:rsidRPr="00864C4F">
        <w:rPr>
          <w:rFonts w:cs="Calibri"/>
          <w:sz w:val="22"/>
          <w:szCs w:val="22"/>
        </w:rPr>
        <w:t>Additionally, ships often stay in ports for several hours or even days, using their engines to unload and upload cargo and operate port activities. This process releases a large amount of sulfur oxides (SOX) and nitrogen oxides (NOX), which are considered major contributors to seawater acidification.</w:t>
      </w:r>
      <w:r w:rsidR="00137E5C" w:rsidRPr="00864C4F">
        <w:rPr>
          <w:rFonts w:cs="Calibri"/>
          <w:sz w:val="22"/>
          <w:szCs w:val="22"/>
        </w:rPr>
        <w:t xml:space="preserve"> </w:t>
      </w:r>
      <w:r w:rsidRPr="00864C4F">
        <w:rPr>
          <w:rFonts w:cs="Calibri"/>
          <w:sz w:val="22"/>
          <w:szCs w:val="22"/>
        </w:rPr>
        <w:t>IMO predicts that if no emission control measures are taken, ship emissions in 2050 could be twice as high as in 2007. Therefore, to reduce pollution from ships, IMO and governments worldwide have introduced various energy-saving and emission-reduction measures.</w:t>
      </w:r>
    </w:p>
    <w:p w14:paraId="6AAE1D05" w14:textId="69E59911" w:rsidR="00956736" w:rsidRPr="00864C4F" w:rsidRDefault="00956736" w:rsidP="00956736">
      <w:pPr>
        <w:rPr>
          <w:rFonts w:cs="Calibri"/>
          <w:sz w:val="22"/>
          <w:szCs w:val="22"/>
        </w:rPr>
      </w:pPr>
      <w:r w:rsidRPr="00864C4F">
        <w:rPr>
          <w:rFonts w:cs="Calibri"/>
          <w:sz w:val="22"/>
          <w:szCs w:val="22"/>
        </w:rPr>
        <w:t>An Emission Control Area (ECA) is a designated sea area where stricter regulations are enforced to reduce air pollution from ships. Initially, these rules targeted SOX, but in 2005, they were expanded to include NOX in some areas.</w:t>
      </w:r>
      <w:r w:rsidR="00AC0C7E" w:rsidRPr="00864C4F">
        <w:rPr>
          <w:rFonts w:cs="Calibri"/>
          <w:sz w:val="22"/>
          <w:szCs w:val="22"/>
        </w:rPr>
        <w:t xml:space="preserve"> </w:t>
      </w:r>
      <w:r w:rsidRPr="00864C4F">
        <w:rPr>
          <w:rFonts w:cs="Calibri"/>
          <w:sz w:val="22"/>
          <w:szCs w:val="22"/>
        </w:rPr>
        <w:t xml:space="preserve">While </w:t>
      </w:r>
      <w:r w:rsidRPr="00864C4F">
        <w:rPr>
          <w:rFonts w:cs="Calibri"/>
          <w:sz w:val="22"/>
          <w:szCs w:val="22"/>
        </w:rPr>
        <w:t>SOX-only ECAs are called SECAs (Sulfur Emission Control Areas)</w:t>
      </w:r>
      <w:r w:rsidR="00AC0C7E" w:rsidRPr="00864C4F">
        <w:rPr>
          <w:rFonts w:cs="Calibri"/>
          <w:sz w:val="22"/>
          <w:szCs w:val="22"/>
        </w:rPr>
        <w:t xml:space="preserve">, </w:t>
      </w:r>
      <w:r w:rsidRPr="00864C4F">
        <w:rPr>
          <w:rFonts w:cs="Calibri"/>
          <w:sz w:val="22"/>
          <w:szCs w:val="22"/>
        </w:rPr>
        <w:t>NOX-restricted ECAs are known as NECAs (Nitrogen Emission Control Areas).</w:t>
      </w:r>
    </w:p>
    <w:p w14:paraId="134049F2" w14:textId="4E4A74D0" w:rsidR="00956736" w:rsidRPr="00864C4F" w:rsidRDefault="00956736" w:rsidP="00956736">
      <w:pPr>
        <w:rPr>
          <w:rFonts w:cs="Calibri"/>
          <w:sz w:val="22"/>
          <w:szCs w:val="22"/>
        </w:rPr>
      </w:pPr>
      <w:r w:rsidRPr="00864C4F">
        <w:rPr>
          <w:rFonts w:cs="Calibri"/>
          <w:sz w:val="22"/>
          <w:szCs w:val="22"/>
        </w:rPr>
        <w:t>Since January 1, 2015, the maximum sulfur content in marine fuel must not exceed 0.1% (1000 ppm). Existing SECA zones include the Baltic Sea, North Sea, and North American coastal waters, covering both U.S. and Canadian coastlines, as well as the U.S. Caribbean Sea. The Mediterranean Sea will be added to SECA in 2025.</w:t>
      </w:r>
      <w:r w:rsidR="00AC0C7E" w:rsidRPr="00864C4F">
        <w:rPr>
          <w:rFonts w:cs="Calibri"/>
          <w:sz w:val="22"/>
          <w:szCs w:val="22"/>
        </w:rPr>
        <w:t xml:space="preserve"> </w:t>
      </w:r>
      <w:r w:rsidRPr="00864C4F">
        <w:rPr>
          <w:rFonts w:cs="Calibri"/>
          <w:sz w:val="22"/>
          <w:szCs w:val="22"/>
        </w:rPr>
        <w:t>For NOx emissions, MARPOL Annex VI sets three-tiered standards (Tier 1, Tier 2, and Tier 3), based on ship construction year and navigation area. Tier 3 applies only to newly built ships operating in NECA zones, which currently include the North Sea, Baltic Sea, and U.S. coastal waters.</w:t>
      </w:r>
    </w:p>
    <w:p w14:paraId="0279778A" w14:textId="24E967BE" w:rsidR="00CA5A3A" w:rsidRPr="00864C4F" w:rsidRDefault="00CA5A3A" w:rsidP="00CA5A3A">
      <w:pPr>
        <w:pStyle w:val="ListParagraph"/>
        <w:numPr>
          <w:ilvl w:val="0"/>
          <w:numId w:val="1"/>
        </w:numPr>
        <w:rPr>
          <w:rFonts w:cs="Calibri"/>
          <w:sz w:val="22"/>
          <w:szCs w:val="22"/>
        </w:rPr>
      </w:pPr>
      <w:r w:rsidRPr="00864C4F">
        <w:rPr>
          <w:rFonts w:cs="Calibri"/>
          <w:sz w:val="22"/>
          <w:szCs w:val="22"/>
        </w:rPr>
        <w:t xml:space="preserve">Scrubber </w:t>
      </w:r>
    </w:p>
    <w:p w14:paraId="1A3E44D0" w14:textId="17F938D9" w:rsidR="00EE7086" w:rsidRPr="00864C4F" w:rsidRDefault="00EE7086" w:rsidP="00EE7086">
      <w:pPr>
        <w:rPr>
          <w:rFonts w:cs="Calibri"/>
          <w:sz w:val="22"/>
          <w:szCs w:val="22"/>
        </w:rPr>
      </w:pPr>
      <w:r w:rsidRPr="00864C4F">
        <w:rPr>
          <w:rFonts w:cs="Calibri"/>
          <w:sz w:val="22"/>
          <w:szCs w:val="22"/>
        </w:rPr>
        <w:t>One</w:t>
      </w:r>
      <w:r w:rsidRPr="00864C4F">
        <w:rPr>
          <w:rFonts w:cs="Calibri"/>
          <w:sz w:val="22"/>
          <w:szCs w:val="22"/>
        </w:rPr>
        <w:t xml:space="preserve"> way to reduce emissions and comply with ECA regulations is to install scrubber technology. Scrubbers allow ships to continue using traditional heavy fuel oil (HFO) within ECAs, avoiding the extra cost of switching to low-sulfur fuel (MGO).</w:t>
      </w:r>
      <w:r w:rsidRPr="00864C4F">
        <w:rPr>
          <w:rFonts w:cs="Calibri"/>
          <w:sz w:val="22"/>
          <w:szCs w:val="22"/>
        </w:rPr>
        <w:t xml:space="preserve"> </w:t>
      </w:r>
      <w:r w:rsidRPr="00864C4F">
        <w:rPr>
          <w:rFonts w:cs="Calibri"/>
          <w:sz w:val="22"/>
          <w:szCs w:val="22"/>
        </w:rPr>
        <w:t xml:space="preserve">In a scrubber system, </w:t>
      </w:r>
      <w:r w:rsidR="003A53F7" w:rsidRPr="00864C4F">
        <w:rPr>
          <w:rFonts w:cs="Calibri"/>
          <w:sz w:val="22"/>
          <w:szCs w:val="22"/>
        </w:rPr>
        <w:t>before ship exhaust gases</w:t>
      </w:r>
      <w:r w:rsidR="003A53F7" w:rsidRPr="00864C4F">
        <w:rPr>
          <w:rFonts w:cs="Calibri"/>
          <w:sz w:val="22"/>
          <w:szCs w:val="22"/>
        </w:rPr>
        <w:t xml:space="preserve"> </w:t>
      </w:r>
      <w:r w:rsidR="003A53F7" w:rsidRPr="00864C4F">
        <w:rPr>
          <w:rFonts w:cs="Calibri"/>
          <w:sz w:val="22"/>
          <w:szCs w:val="22"/>
        </w:rPr>
        <w:t>are released into the air</w:t>
      </w:r>
      <w:r w:rsidR="003A53F7" w:rsidRPr="00864C4F">
        <w:rPr>
          <w:rFonts w:cs="Calibri"/>
          <w:sz w:val="22"/>
          <w:szCs w:val="22"/>
        </w:rPr>
        <w:t xml:space="preserve">, </w:t>
      </w:r>
      <w:proofErr w:type="spellStart"/>
      <w:r w:rsidR="0067645A" w:rsidRPr="00864C4F">
        <w:rPr>
          <w:rFonts w:cs="Calibri"/>
          <w:sz w:val="22"/>
          <w:szCs w:val="22"/>
        </w:rPr>
        <w:t>S</w:t>
      </w:r>
      <w:r w:rsidR="00455026" w:rsidRPr="00864C4F">
        <w:rPr>
          <w:rFonts w:cs="Calibri"/>
          <w:sz w:val="22"/>
          <w:szCs w:val="22"/>
        </w:rPr>
        <w:t>Ox</w:t>
      </w:r>
      <w:proofErr w:type="spellEnd"/>
      <w:r w:rsidR="00455026" w:rsidRPr="00864C4F">
        <w:rPr>
          <w:rFonts w:cs="Calibri"/>
          <w:sz w:val="22"/>
          <w:szCs w:val="22"/>
        </w:rPr>
        <w:t xml:space="preserve"> are removed </w:t>
      </w:r>
      <w:r w:rsidR="003A53F7" w:rsidRPr="00864C4F">
        <w:rPr>
          <w:rFonts w:cs="Calibri"/>
          <w:sz w:val="22"/>
          <w:szCs w:val="22"/>
        </w:rPr>
        <w:t xml:space="preserve">by being </w:t>
      </w:r>
      <w:r w:rsidR="003A53F7" w:rsidRPr="00864C4F">
        <w:rPr>
          <w:rFonts w:cs="Calibri"/>
          <w:sz w:val="22"/>
          <w:szCs w:val="22"/>
        </w:rPr>
        <w:lastRenderedPageBreak/>
        <w:t xml:space="preserve">sprayed with liquid. </w:t>
      </w:r>
      <w:r w:rsidRPr="00864C4F">
        <w:rPr>
          <w:rFonts w:cs="Calibri"/>
          <w:sz w:val="22"/>
          <w:szCs w:val="22"/>
        </w:rPr>
        <w:t xml:space="preserve">Scrubbers can remove up to 95% of </w:t>
      </w:r>
      <w:proofErr w:type="spellStart"/>
      <w:r w:rsidRPr="00864C4F">
        <w:rPr>
          <w:rFonts w:cs="Calibri"/>
          <w:sz w:val="22"/>
          <w:szCs w:val="22"/>
        </w:rPr>
        <w:t>SOx</w:t>
      </w:r>
      <w:proofErr w:type="spellEnd"/>
      <w:r w:rsidRPr="00864C4F">
        <w:rPr>
          <w:rFonts w:cs="Calibri"/>
          <w:sz w:val="22"/>
          <w:szCs w:val="22"/>
        </w:rPr>
        <w:t>, reduce particulate matter (PM) emissions, and meet IMO sulfur emission limits.</w:t>
      </w:r>
      <w:r w:rsidRPr="00864C4F">
        <w:rPr>
          <w:rFonts w:cs="Calibri"/>
          <w:sz w:val="22"/>
          <w:szCs w:val="22"/>
        </w:rPr>
        <w:t xml:space="preserve"> </w:t>
      </w:r>
      <w:r w:rsidRPr="00864C4F">
        <w:rPr>
          <w:rFonts w:cs="Calibri"/>
          <w:sz w:val="22"/>
          <w:szCs w:val="22"/>
        </w:rPr>
        <w:t>However, installing scrubbers may</w:t>
      </w:r>
      <w:r w:rsidR="006A1EFD" w:rsidRPr="00864C4F">
        <w:rPr>
          <w:rFonts w:cs="Calibri"/>
          <w:sz w:val="22"/>
          <w:szCs w:val="22"/>
        </w:rPr>
        <w:t xml:space="preserve"> also</w:t>
      </w:r>
      <w:r w:rsidRPr="00864C4F">
        <w:rPr>
          <w:rFonts w:cs="Calibri"/>
          <w:sz w:val="22"/>
          <w:szCs w:val="22"/>
        </w:rPr>
        <w:t xml:space="preserve"> increase fuel and power consumption.</w:t>
      </w:r>
    </w:p>
    <w:p w14:paraId="3B7C2073" w14:textId="2E9D9336" w:rsidR="006D0ECA" w:rsidRPr="00864C4F" w:rsidRDefault="00202817" w:rsidP="001A510C">
      <w:pPr>
        <w:rPr>
          <w:rFonts w:cs="Calibri"/>
          <w:sz w:val="22"/>
          <w:szCs w:val="22"/>
        </w:rPr>
      </w:pPr>
      <w:r w:rsidRPr="00864C4F">
        <w:rPr>
          <w:rFonts w:cs="Calibri"/>
          <w:sz w:val="22"/>
          <w:szCs w:val="22"/>
        </w:rPr>
        <w:t>To analyze</w:t>
      </w:r>
      <w:r w:rsidR="005B6EF8" w:rsidRPr="00864C4F">
        <w:rPr>
          <w:rFonts w:cs="Calibri"/>
          <w:sz w:val="22"/>
          <w:szCs w:val="22"/>
        </w:rPr>
        <w:t xml:space="preserve"> its</w:t>
      </w:r>
      <w:r w:rsidRPr="00864C4F">
        <w:rPr>
          <w:rFonts w:cs="Calibri"/>
          <w:sz w:val="22"/>
          <w:szCs w:val="22"/>
        </w:rPr>
        <w:t xml:space="preserve"> impact on vessel costs, </w:t>
      </w:r>
      <w:r w:rsidR="005B6EF8" w:rsidRPr="00864C4F">
        <w:rPr>
          <w:rFonts w:cs="Calibri"/>
          <w:sz w:val="22"/>
          <w:szCs w:val="22"/>
        </w:rPr>
        <w:t xml:space="preserve">the installation of scrubber </w:t>
      </w:r>
      <w:r w:rsidRPr="00864C4F">
        <w:rPr>
          <w:rFonts w:cs="Calibri"/>
          <w:sz w:val="22"/>
          <w:szCs w:val="22"/>
        </w:rPr>
        <w:t>is used as a substitute in the calculation.</w:t>
      </w:r>
      <w:r w:rsidR="00077CF4" w:rsidRPr="00864C4F">
        <w:rPr>
          <w:rFonts w:cs="Calibri"/>
          <w:sz w:val="22"/>
          <w:szCs w:val="22"/>
        </w:rPr>
        <w:t xml:space="preserve"> </w:t>
      </w:r>
      <w:r w:rsidR="00805144" w:rsidRPr="00864C4F">
        <w:rPr>
          <w:rFonts w:cs="Calibri"/>
          <w:sz w:val="22"/>
          <w:szCs w:val="22"/>
        </w:rPr>
        <w:t xml:space="preserve">The result of chain cost calculation can be seen in Table </w:t>
      </w:r>
      <w:r w:rsidR="00483B9D">
        <w:rPr>
          <w:rFonts w:cs="Calibri" w:hint="eastAsia"/>
          <w:sz w:val="22"/>
          <w:szCs w:val="22"/>
        </w:rPr>
        <w:t>X</w:t>
      </w:r>
      <w:r w:rsidR="00805144" w:rsidRPr="00864C4F">
        <w:rPr>
          <w:rFonts w:cs="Calibri"/>
          <w:sz w:val="22"/>
          <w:szCs w:val="22"/>
        </w:rPr>
        <w:t xml:space="preserve">. It shows that the marine time cost decreased 0.8% after the installation of scrubber, while other related </w:t>
      </w:r>
      <w:r w:rsidR="001A510C" w:rsidRPr="00864C4F">
        <w:rPr>
          <w:rFonts w:cs="Calibri"/>
          <w:sz w:val="22"/>
          <w:szCs w:val="22"/>
        </w:rPr>
        <w:t>costs</w:t>
      </w:r>
      <w:r w:rsidR="00805144" w:rsidRPr="00864C4F">
        <w:rPr>
          <w:rFonts w:cs="Calibri"/>
          <w:sz w:val="22"/>
          <w:szCs w:val="22"/>
        </w:rPr>
        <w:t xml:space="preserve"> did not change; therefore, total </w:t>
      </w:r>
      <w:proofErr w:type="spellStart"/>
      <w:r w:rsidR="00805144" w:rsidRPr="00864C4F">
        <w:rPr>
          <w:rFonts w:cs="Calibri"/>
          <w:sz w:val="22"/>
          <w:szCs w:val="22"/>
        </w:rPr>
        <w:t>generalised</w:t>
      </w:r>
      <w:proofErr w:type="spellEnd"/>
      <w:r w:rsidR="00805144" w:rsidRPr="00864C4F">
        <w:rPr>
          <w:rFonts w:cs="Calibri"/>
          <w:sz w:val="22"/>
          <w:szCs w:val="22"/>
        </w:rPr>
        <w:t xml:space="preserve"> chain cost decreased 0.2%. </w:t>
      </w:r>
    </w:p>
    <w:p w14:paraId="1208E59B" w14:textId="05B01540" w:rsidR="000F173A" w:rsidRPr="00864C4F" w:rsidRDefault="0054798B">
      <w:pPr>
        <w:rPr>
          <w:rFonts w:cs="Calibri"/>
          <w:sz w:val="22"/>
          <w:szCs w:val="22"/>
        </w:rPr>
      </w:pPr>
      <w:r w:rsidRPr="00864C4F">
        <w:rPr>
          <w:rFonts w:cs="Calibri"/>
          <w:sz w:val="22"/>
          <w:szCs w:val="22"/>
        </w:rPr>
        <w:t>According to the calculation model, the only vessel cost component affected by the scrubber installation is fuel cost ship ECA</w:t>
      </w:r>
      <w:r w:rsidR="00483B9D">
        <w:rPr>
          <w:rFonts w:cs="Calibri" w:hint="eastAsia"/>
          <w:sz w:val="22"/>
          <w:szCs w:val="22"/>
        </w:rPr>
        <w:t xml:space="preserve"> as stated in Table X</w:t>
      </w:r>
      <w:r w:rsidR="00F7784D" w:rsidRPr="00864C4F">
        <w:rPr>
          <w:rFonts w:cs="Calibri"/>
          <w:sz w:val="22"/>
          <w:szCs w:val="22"/>
        </w:rPr>
        <w:t>.</w:t>
      </w:r>
      <w:r w:rsidR="00805144" w:rsidRPr="00864C4F">
        <w:rPr>
          <w:rFonts w:cs="Calibri"/>
          <w:sz w:val="22"/>
          <w:szCs w:val="22"/>
        </w:rPr>
        <w:t xml:space="preserve"> It refers to the expenses incurred when buying fuel that complies with ECA regulations for ships operating in SECA or NECA zones.</w:t>
      </w:r>
      <w:r w:rsidR="00805144" w:rsidRPr="00864C4F">
        <w:rPr>
          <w:sz w:val="22"/>
          <w:szCs w:val="22"/>
        </w:rPr>
        <w:t xml:space="preserve"> </w:t>
      </w:r>
      <w:r w:rsidR="00805144" w:rsidRPr="00864C4F">
        <w:rPr>
          <w:rFonts w:cs="Calibri"/>
          <w:sz w:val="22"/>
          <w:szCs w:val="22"/>
        </w:rPr>
        <w:t>The fuel cost ship ECA decreases by 33.3%, from €19.76 to €13.18 /TEU, because of scrubber installation</w:t>
      </w:r>
      <w:r w:rsidR="00A13EAB" w:rsidRPr="00864C4F">
        <w:rPr>
          <w:rFonts w:cs="Calibri"/>
          <w:sz w:val="22"/>
          <w:szCs w:val="22"/>
        </w:rPr>
        <w:t>,</w:t>
      </w:r>
      <w:r w:rsidR="001A510C" w:rsidRPr="00864C4F">
        <w:rPr>
          <w:rFonts w:cs="Calibri"/>
          <w:sz w:val="22"/>
          <w:szCs w:val="22"/>
        </w:rPr>
        <w:t xml:space="preserve"> because vessels equipped with scrubbers can continue using HFO instead of MGO, which costs €325 per </w:t>
      </w:r>
      <w:proofErr w:type="spellStart"/>
      <w:r w:rsidR="001A510C" w:rsidRPr="00864C4F">
        <w:rPr>
          <w:rFonts w:cs="Calibri"/>
          <w:sz w:val="22"/>
          <w:szCs w:val="22"/>
        </w:rPr>
        <w:t>tonne</w:t>
      </w:r>
      <w:proofErr w:type="spellEnd"/>
      <w:r w:rsidR="001A510C" w:rsidRPr="00864C4F">
        <w:rPr>
          <w:rFonts w:cs="Calibri"/>
          <w:sz w:val="22"/>
          <w:szCs w:val="22"/>
        </w:rPr>
        <w:t xml:space="preserve"> more than HFO. Although scrubber operation increases power and fuel consumption, the additional cost is generally lower than the price difference between HFO and MGO. As a result, the overall fuel cost ship ECA decreases.</w:t>
      </w:r>
    </w:p>
    <w:p w14:paraId="59F6B7C1" w14:textId="4AB45AB8" w:rsidR="00874E6A" w:rsidRPr="00864C4F" w:rsidRDefault="00874E6A" w:rsidP="00874E6A">
      <w:pPr>
        <w:jc w:val="center"/>
        <w:rPr>
          <w:rFonts w:cs="Calibri"/>
          <w:sz w:val="22"/>
          <w:szCs w:val="22"/>
        </w:rPr>
      </w:pPr>
      <w:r w:rsidRPr="00864C4F">
        <w:rPr>
          <w:rFonts w:cs="Calibri"/>
          <w:sz w:val="22"/>
          <w:szCs w:val="22"/>
        </w:rPr>
        <w:t>Comparison of Chain Cost: With vs Without LNG for Xiamen – Zeebrugge route</w:t>
      </w:r>
    </w:p>
    <w:tbl>
      <w:tblPr>
        <w:tblStyle w:val="GridTable5Dark-Accent1"/>
        <w:tblW w:w="7651" w:type="dxa"/>
        <w:jc w:val="center"/>
        <w:tblLayout w:type="fixed"/>
        <w:tblLook w:val="04A0" w:firstRow="1" w:lastRow="0" w:firstColumn="1" w:lastColumn="0" w:noHBand="0" w:noVBand="1"/>
      </w:tblPr>
      <w:tblGrid>
        <w:gridCol w:w="2972"/>
        <w:gridCol w:w="1559"/>
        <w:gridCol w:w="1560"/>
        <w:gridCol w:w="1560"/>
      </w:tblGrid>
      <w:tr w:rsidR="0070354E" w:rsidRPr="00864C4F" w14:paraId="3CE06FC6" w14:textId="77777777" w:rsidTr="009201D8">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noWrap/>
          </w:tcPr>
          <w:p w14:paraId="372F8EDF" w14:textId="68C387EC" w:rsidR="0070354E" w:rsidRPr="00864C4F" w:rsidRDefault="009E7D45" w:rsidP="00436673">
            <w:pPr>
              <w:widowControl/>
              <w:rPr>
                <w:rFonts w:cs="Calibri"/>
                <w:kern w:val="0"/>
                <w:sz w:val="18"/>
                <w:szCs w:val="18"/>
                <w14:ligatures w14:val="none"/>
              </w:rPr>
            </w:pPr>
            <w:r w:rsidRPr="00864C4F">
              <w:rPr>
                <w:rFonts w:cs="Calibri"/>
                <w:kern w:val="0"/>
                <w:sz w:val="18"/>
                <w:szCs w:val="18"/>
                <w14:ligatures w14:val="none"/>
              </w:rPr>
              <w:t>Chain Cost Components</w:t>
            </w:r>
          </w:p>
        </w:tc>
        <w:tc>
          <w:tcPr>
            <w:tcW w:w="1559" w:type="dxa"/>
            <w:noWrap/>
          </w:tcPr>
          <w:p w14:paraId="3688C858" w14:textId="0B0DDC86" w:rsidR="0070354E" w:rsidRPr="00864C4F" w:rsidRDefault="0070354E" w:rsidP="00436673">
            <w:pPr>
              <w:widowControl/>
              <w:jc w:val="center"/>
              <w:cnfStyle w:val="100000000000" w:firstRow="1" w:lastRow="0" w:firstColumn="0" w:lastColumn="0" w:oddVBand="0" w:evenVBand="0" w:oddHBand="0" w:evenHBand="0" w:firstRowFirstColumn="0" w:firstRowLastColumn="0" w:lastRowFirstColumn="0" w:lastRowLastColumn="0"/>
              <w:rPr>
                <w:rFonts w:cs="Calibri"/>
                <w:kern w:val="0"/>
                <w:sz w:val="18"/>
                <w:szCs w:val="18"/>
                <w14:ligatures w14:val="none"/>
              </w:rPr>
            </w:pPr>
            <w:r w:rsidRPr="00864C4F">
              <w:rPr>
                <w:rFonts w:cs="Calibri"/>
                <w:kern w:val="0"/>
                <w:sz w:val="18"/>
                <w:szCs w:val="18"/>
                <w14:ligatures w14:val="none"/>
              </w:rPr>
              <w:t>Regular Fuel</w:t>
            </w:r>
          </w:p>
        </w:tc>
        <w:tc>
          <w:tcPr>
            <w:tcW w:w="1560" w:type="dxa"/>
          </w:tcPr>
          <w:p w14:paraId="387AAED0" w14:textId="132FC29A" w:rsidR="0070354E" w:rsidRPr="00864C4F" w:rsidRDefault="0070354E" w:rsidP="00436673">
            <w:pPr>
              <w:widowControl/>
              <w:jc w:val="center"/>
              <w:cnfStyle w:val="100000000000" w:firstRow="1"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Scrubber only</w:t>
            </w:r>
          </w:p>
        </w:tc>
        <w:tc>
          <w:tcPr>
            <w:tcW w:w="1560" w:type="dxa"/>
          </w:tcPr>
          <w:p w14:paraId="5591290B" w14:textId="6E85B8E8" w:rsidR="0070354E" w:rsidRPr="00864C4F" w:rsidRDefault="0070354E" w:rsidP="00436673">
            <w:pPr>
              <w:widowControl/>
              <w:jc w:val="center"/>
              <w:cnfStyle w:val="100000000000" w:firstRow="1"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Change</w:t>
            </w:r>
          </w:p>
        </w:tc>
      </w:tr>
      <w:tr w:rsidR="0028711D" w:rsidRPr="00864C4F" w14:paraId="57FFB2EE" w14:textId="5E3EDF0C" w:rsidTr="009201D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4C488968" w14:textId="77777777" w:rsidR="0028711D" w:rsidRPr="00FE1F56" w:rsidRDefault="0028711D" w:rsidP="0028711D">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From Hinterland cost</w:t>
            </w:r>
          </w:p>
        </w:tc>
        <w:tc>
          <w:tcPr>
            <w:tcW w:w="1559" w:type="dxa"/>
            <w:shd w:val="clear" w:color="auto" w:fill="FFFFFF" w:themeFill="background1"/>
            <w:noWrap/>
            <w:hideMark/>
          </w:tcPr>
          <w:p w14:paraId="15CC41A9" w14:textId="77777777" w:rsidR="0028711D" w:rsidRPr="00FE1F56"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1085.74820</w:t>
            </w:r>
          </w:p>
        </w:tc>
        <w:tc>
          <w:tcPr>
            <w:tcW w:w="1560" w:type="dxa"/>
            <w:shd w:val="clear" w:color="auto" w:fill="FFFFFF" w:themeFill="background1"/>
          </w:tcPr>
          <w:p w14:paraId="2B480D52" w14:textId="3AC5C032" w:rsidR="0028711D" w:rsidRPr="00864C4F"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1085.74820</w:t>
            </w:r>
          </w:p>
        </w:tc>
        <w:tc>
          <w:tcPr>
            <w:tcW w:w="1560" w:type="dxa"/>
            <w:shd w:val="clear" w:color="auto" w:fill="FFFFFF" w:themeFill="background1"/>
          </w:tcPr>
          <w:p w14:paraId="2CFFBE7B" w14:textId="3E54F237" w:rsidR="0028711D" w:rsidRPr="00864C4F"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28711D" w:rsidRPr="00864C4F" w14:paraId="61E99FB6" w14:textId="750D5B2E" w:rsidTr="009201D8">
        <w:trPr>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078039B1" w14:textId="77777777" w:rsidR="0028711D" w:rsidRPr="00FE1F56" w:rsidRDefault="0028711D" w:rsidP="0028711D">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From Port cost</w:t>
            </w:r>
          </w:p>
        </w:tc>
        <w:tc>
          <w:tcPr>
            <w:tcW w:w="1559" w:type="dxa"/>
            <w:shd w:val="clear" w:color="auto" w:fill="FFFFFF" w:themeFill="background1"/>
            <w:noWrap/>
            <w:hideMark/>
          </w:tcPr>
          <w:p w14:paraId="5D31FDFC" w14:textId="77777777" w:rsidR="0028711D" w:rsidRPr="00FE1F56"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99.65251</w:t>
            </w:r>
          </w:p>
        </w:tc>
        <w:tc>
          <w:tcPr>
            <w:tcW w:w="1560" w:type="dxa"/>
            <w:shd w:val="clear" w:color="auto" w:fill="FFFFFF" w:themeFill="background1"/>
          </w:tcPr>
          <w:p w14:paraId="2AE7F7FB" w14:textId="59EF36C2" w:rsidR="0028711D" w:rsidRPr="00864C4F"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99.65251</w:t>
            </w:r>
          </w:p>
        </w:tc>
        <w:tc>
          <w:tcPr>
            <w:tcW w:w="1560" w:type="dxa"/>
            <w:shd w:val="clear" w:color="auto" w:fill="FFFFFF" w:themeFill="background1"/>
          </w:tcPr>
          <w:p w14:paraId="1C6FE322" w14:textId="47739448" w:rsidR="0028711D" w:rsidRPr="00864C4F"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w:t>
            </w:r>
          </w:p>
        </w:tc>
      </w:tr>
      <w:tr w:rsidR="0028711D" w:rsidRPr="00864C4F" w14:paraId="73151811" w14:textId="684A0BA4" w:rsidTr="009201D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5AA0E9EC" w14:textId="77777777" w:rsidR="0028711D" w:rsidRPr="00FE1F56" w:rsidRDefault="0028711D" w:rsidP="0028711D">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Maritime cost</w:t>
            </w:r>
          </w:p>
        </w:tc>
        <w:tc>
          <w:tcPr>
            <w:tcW w:w="1559" w:type="dxa"/>
            <w:shd w:val="clear" w:color="auto" w:fill="FFFFFF" w:themeFill="background1"/>
            <w:noWrap/>
            <w:hideMark/>
          </w:tcPr>
          <w:p w14:paraId="6A3AF6A5" w14:textId="77777777" w:rsidR="0028711D" w:rsidRPr="00FE1F56"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637.59082</w:t>
            </w:r>
          </w:p>
        </w:tc>
        <w:tc>
          <w:tcPr>
            <w:tcW w:w="1560" w:type="dxa"/>
            <w:shd w:val="clear" w:color="auto" w:fill="FFFFFF" w:themeFill="background1"/>
          </w:tcPr>
          <w:p w14:paraId="42B1CBC3" w14:textId="37583114" w:rsidR="0028711D" w:rsidRPr="00864C4F"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632.24188</w:t>
            </w:r>
          </w:p>
        </w:tc>
        <w:tc>
          <w:tcPr>
            <w:tcW w:w="1560" w:type="dxa"/>
            <w:shd w:val="clear" w:color="auto" w:fill="FFFFFF" w:themeFill="background1"/>
          </w:tcPr>
          <w:p w14:paraId="7BAD7448" w14:textId="4F4C0FD1" w:rsidR="0028711D" w:rsidRPr="00864C4F"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-0.00839</w:t>
            </w:r>
          </w:p>
        </w:tc>
      </w:tr>
      <w:tr w:rsidR="0028711D" w:rsidRPr="00864C4F" w14:paraId="2FA92BFE" w14:textId="77C4B6D9" w:rsidTr="009201D8">
        <w:trPr>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0B49353F" w14:textId="77777777" w:rsidR="0028711D" w:rsidRPr="00FE1F56" w:rsidRDefault="0028711D" w:rsidP="0028711D">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To Port cost</w:t>
            </w:r>
          </w:p>
        </w:tc>
        <w:tc>
          <w:tcPr>
            <w:tcW w:w="1559" w:type="dxa"/>
            <w:shd w:val="clear" w:color="auto" w:fill="FFFFFF" w:themeFill="background1"/>
            <w:noWrap/>
            <w:hideMark/>
          </w:tcPr>
          <w:p w14:paraId="128C691D" w14:textId="77777777" w:rsidR="0028711D" w:rsidRPr="00FE1F56"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381.82987</w:t>
            </w:r>
          </w:p>
        </w:tc>
        <w:tc>
          <w:tcPr>
            <w:tcW w:w="1560" w:type="dxa"/>
            <w:shd w:val="clear" w:color="auto" w:fill="FFFFFF" w:themeFill="background1"/>
          </w:tcPr>
          <w:p w14:paraId="2C42ABBE" w14:textId="660A52CB" w:rsidR="0028711D" w:rsidRPr="00864C4F"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381.82987</w:t>
            </w:r>
          </w:p>
        </w:tc>
        <w:tc>
          <w:tcPr>
            <w:tcW w:w="1560" w:type="dxa"/>
            <w:shd w:val="clear" w:color="auto" w:fill="FFFFFF" w:themeFill="background1"/>
          </w:tcPr>
          <w:p w14:paraId="50A79EB0" w14:textId="23E3F10F" w:rsidR="0028711D" w:rsidRPr="00864C4F"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w:t>
            </w:r>
          </w:p>
        </w:tc>
      </w:tr>
      <w:tr w:rsidR="0028711D" w:rsidRPr="00864C4F" w14:paraId="1F458B13" w14:textId="5C39B0E8" w:rsidTr="009201D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08097A6E" w14:textId="77777777" w:rsidR="0028711D" w:rsidRPr="00FE1F56" w:rsidRDefault="0028711D" w:rsidP="0028711D">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To Hinterland cost</w:t>
            </w:r>
          </w:p>
        </w:tc>
        <w:tc>
          <w:tcPr>
            <w:tcW w:w="1559" w:type="dxa"/>
            <w:shd w:val="clear" w:color="auto" w:fill="FFFFFF" w:themeFill="background1"/>
            <w:noWrap/>
            <w:hideMark/>
          </w:tcPr>
          <w:p w14:paraId="6EAA888D" w14:textId="77777777" w:rsidR="0028711D" w:rsidRPr="00FE1F56"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390.61684</w:t>
            </w:r>
          </w:p>
        </w:tc>
        <w:tc>
          <w:tcPr>
            <w:tcW w:w="1560" w:type="dxa"/>
            <w:shd w:val="clear" w:color="auto" w:fill="FFFFFF" w:themeFill="background1"/>
          </w:tcPr>
          <w:p w14:paraId="03B1740C" w14:textId="5472547C" w:rsidR="0028711D" w:rsidRPr="00864C4F"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390.61684</w:t>
            </w:r>
          </w:p>
        </w:tc>
        <w:tc>
          <w:tcPr>
            <w:tcW w:w="1560" w:type="dxa"/>
            <w:shd w:val="clear" w:color="auto" w:fill="FFFFFF" w:themeFill="background1"/>
          </w:tcPr>
          <w:p w14:paraId="2C448CD9" w14:textId="6E528E8D" w:rsidR="0028711D" w:rsidRPr="00864C4F" w:rsidRDefault="0028711D" w:rsidP="0028711D">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28711D" w:rsidRPr="00864C4F" w14:paraId="5D926114" w14:textId="2207E6C3" w:rsidTr="009201D8">
        <w:trPr>
          <w:trHeight w:val="290"/>
          <w:jc w:val="center"/>
        </w:trPr>
        <w:tc>
          <w:tcPr>
            <w:cnfStyle w:val="001000000000" w:firstRow="0" w:lastRow="0" w:firstColumn="1" w:lastColumn="0" w:oddVBand="0" w:evenVBand="0" w:oddHBand="0" w:evenHBand="0" w:firstRowFirstColumn="0" w:firstRowLastColumn="0" w:lastRowFirstColumn="0" w:lastRowLastColumn="0"/>
            <w:tcW w:w="2972" w:type="dxa"/>
            <w:noWrap/>
            <w:hideMark/>
          </w:tcPr>
          <w:p w14:paraId="49F52980" w14:textId="77777777" w:rsidR="0028711D" w:rsidRPr="00FE1F56" w:rsidRDefault="0028711D" w:rsidP="0028711D">
            <w:pPr>
              <w:widowControl/>
              <w:rPr>
                <w:rFonts w:eastAsia="Yu Gothic UI Light" w:cs="Calibri"/>
                <w:kern w:val="0"/>
                <w:sz w:val="18"/>
                <w:szCs w:val="18"/>
                <w14:ligatures w14:val="none"/>
              </w:rPr>
            </w:pPr>
            <w:r w:rsidRPr="00FE1F56">
              <w:rPr>
                <w:rFonts w:eastAsia="Yu Gothic UI Light" w:cs="Calibri"/>
                <w:kern w:val="0"/>
                <w:sz w:val="18"/>
                <w:szCs w:val="18"/>
                <w14:ligatures w14:val="none"/>
              </w:rPr>
              <w:t xml:space="preserve">Total </w:t>
            </w:r>
            <w:proofErr w:type="spellStart"/>
            <w:r w:rsidRPr="00FE1F56">
              <w:rPr>
                <w:rFonts w:eastAsia="Yu Gothic UI Light" w:cs="Calibri"/>
                <w:kern w:val="0"/>
                <w:sz w:val="18"/>
                <w:szCs w:val="18"/>
                <w14:ligatures w14:val="none"/>
              </w:rPr>
              <w:t>generalised</w:t>
            </w:r>
            <w:proofErr w:type="spellEnd"/>
            <w:r w:rsidRPr="00FE1F56">
              <w:rPr>
                <w:rFonts w:eastAsia="Yu Gothic UI Light" w:cs="Calibri"/>
                <w:kern w:val="0"/>
                <w:sz w:val="18"/>
                <w:szCs w:val="18"/>
                <w14:ligatures w14:val="none"/>
              </w:rPr>
              <w:t xml:space="preserve"> chain cost</w:t>
            </w:r>
          </w:p>
        </w:tc>
        <w:tc>
          <w:tcPr>
            <w:tcW w:w="1559" w:type="dxa"/>
            <w:noWrap/>
            <w:hideMark/>
          </w:tcPr>
          <w:p w14:paraId="5D45E5EB" w14:textId="77777777" w:rsidR="0028711D" w:rsidRPr="00FE1F56"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2595.43824</w:t>
            </w:r>
          </w:p>
        </w:tc>
        <w:tc>
          <w:tcPr>
            <w:tcW w:w="1560" w:type="dxa"/>
          </w:tcPr>
          <w:p w14:paraId="5B862D4E" w14:textId="04CF1C72" w:rsidR="0028711D" w:rsidRPr="00864C4F"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2590.08931</w:t>
            </w:r>
          </w:p>
        </w:tc>
        <w:tc>
          <w:tcPr>
            <w:tcW w:w="1560" w:type="dxa"/>
          </w:tcPr>
          <w:p w14:paraId="242C81BC" w14:textId="08368332" w:rsidR="0028711D" w:rsidRPr="00864C4F" w:rsidRDefault="0028711D" w:rsidP="0028711D">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-0.00206</w:t>
            </w:r>
          </w:p>
        </w:tc>
      </w:tr>
    </w:tbl>
    <w:p w14:paraId="560A99A3" w14:textId="77777777" w:rsidR="00E87A4F" w:rsidRPr="00864C4F" w:rsidRDefault="00E87A4F" w:rsidP="00E87A4F">
      <w:pPr>
        <w:jc w:val="center"/>
        <w:rPr>
          <w:rFonts w:cs="Calibri"/>
          <w:sz w:val="22"/>
          <w:szCs w:val="22"/>
        </w:rPr>
      </w:pPr>
      <w:r w:rsidRPr="00864C4F">
        <w:rPr>
          <w:rFonts w:cs="Calibri"/>
          <w:sz w:val="22"/>
          <w:szCs w:val="22"/>
        </w:rPr>
        <w:t>Comparison of Vessel Cost: With vs Without Scrubber</w:t>
      </w:r>
    </w:p>
    <w:tbl>
      <w:tblPr>
        <w:tblStyle w:val="GridTable5Dark-Accent1"/>
        <w:tblW w:w="0" w:type="auto"/>
        <w:jc w:val="center"/>
        <w:tblLook w:val="04A0" w:firstRow="1" w:lastRow="0" w:firstColumn="1" w:lastColumn="0" w:noHBand="0" w:noVBand="1"/>
      </w:tblPr>
      <w:tblGrid>
        <w:gridCol w:w="2177"/>
        <w:gridCol w:w="1232"/>
        <w:gridCol w:w="1177"/>
        <w:gridCol w:w="1136"/>
        <w:gridCol w:w="1177"/>
        <w:gridCol w:w="844"/>
      </w:tblGrid>
      <w:tr w:rsidR="00E87A4F" w:rsidRPr="00864C4F" w14:paraId="32CAE2D9" w14:textId="77777777" w:rsidTr="00477688">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vMerge w:val="restart"/>
            <w:noWrap/>
            <w:vAlign w:val="center"/>
          </w:tcPr>
          <w:p w14:paraId="6FB4F59A" w14:textId="77777777" w:rsidR="00E87A4F" w:rsidRPr="00864C4F" w:rsidRDefault="00E87A4F" w:rsidP="00477688">
            <w:pPr>
              <w:widowControl/>
              <w:jc w:val="center"/>
              <w:rPr>
                <w:rFonts w:eastAsia="新細明體" w:cs="Calibri"/>
                <w:kern w:val="0"/>
                <w:sz w:val="18"/>
                <w:szCs w:val="18"/>
                <w14:ligatures w14:val="none"/>
              </w:rPr>
            </w:pPr>
            <w:r w:rsidRPr="00864C4F">
              <w:rPr>
                <w:rFonts w:eastAsia="新細明體" w:cs="Calibri"/>
                <w:kern w:val="0"/>
                <w:sz w:val="18"/>
                <w:szCs w:val="18"/>
                <w14:ligatures w14:val="none"/>
              </w:rPr>
              <w:t>Vessel Cost Component</w:t>
            </w:r>
          </w:p>
        </w:tc>
        <w:tc>
          <w:tcPr>
            <w:tcW w:w="2354" w:type="dxa"/>
            <w:gridSpan w:val="2"/>
            <w:noWrap/>
            <w:vAlign w:val="center"/>
          </w:tcPr>
          <w:p w14:paraId="0C3F0AA9"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Regular Fuel</w:t>
            </w:r>
          </w:p>
        </w:tc>
        <w:tc>
          <w:tcPr>
            <w:tcW w:w="2263" w:type="dxa"/>
            <w:gridSpan w:val="2"/>
            <w:vAlign w:val="center"/>
          </w:tcPr>
          <w:p w14:paraId="6988B6A8"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Scrubber only</w:t>
            </w:r>
          </w:p>
        </w:tc>
        <w:tc>
          <w:tcPr>
            <w:tcW w:w="762" w:type="dxa"/>
            <w:vAlign w:val="center"/>
          </w:tcPr>
          <w:p w14:paraId="3CD42CE3"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Change</w:t>
            </w:r>
          </w:p>
        </w:tc>
      </w:tr>
      <w:tr w:rsidR="00E87A4F" w:rsidRPr="00864C4F" w14:paraId="6F50D0C5"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vMerge/>
            <w:noWrap/>
            <w:vAlign w:val="center"/>
            <w:hideMark/>
          </w:tcPr>
          <w:p w14:paraId="2C6D6544" w14:textId="77777777" w:rsidR="00E87A4F" w:rsidRPr="002E6C29" w:rsidRDefault="00E87A4F" w:rsidP="00477688">
            <w:pPr>
              <w:widowControl/>
              <w:jc w:val="center"/>
              <w:rPr>
                <w:rFonts w:eastAsia="新細明體" w:cs="Calibri"/>
                <w:kern w:val="0"/>
                <w:sz w:val="18"/>
                <w:szCs w:val="18"/>
                <w14:ligatures w14:val="none"/>
              </w:rPr>
            </w:pPr>
          </w:p>
        </w:tc>
        <w:tc>
          <w:tcPr>
            <w:tcW w:w="1177" w:type="dxa"/>
            <w:noWrap/>
            <w:vAlign w:val="center"/>
            <w:hideMark/>
          </w:tcPr>
          <w:p w14:paraId="7BD2B1A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Total cost</w:t>
            </w:r>
          </w:p>
          <w:p w14:paraId="5CF6263D"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per leg</w:t>
            </w:r>
          </w:p>
        </w:tc>
        <w:tc>
          <w:tcPr>
            <w:tcW w:w="1177" w:type="dxa"/>
            <w:vAlign w:val="center"/>
          </w:tcPr>
          <w:p w14:paraId="6A25D29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eastAsia="新細明體" w:cs="Calibri"/>
                <w:color w:val="000000"/>
                <w:kern w:val="0"/>
                <w:sz w:val="18"/>
                <w:szCs w:val="18"/>
                <w14:ligatures w14:val="none"/>
              </w:rPr>
              <w:t>Cost/ TEU</w:t>
            </w:r>
          </w:p>
        </w:tc>
        <w:tc>
          <w:tcPr>
            <w:tcW w:w="1086" w:type="dxa"/>
            <w:vAlign w:val="center"/>
          </w:tcPr>
          <w:p w14:paraId="480CE24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Total cost</w:t>
            </w:r>
          </w:p>
          <w:p w14:paraId="31521F4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per leg</w:t>
            </w:r>
          </w:p>
        </w:tc>
        <w:tc>
          <w:tcPr>
            <w:tcW w:w="1177" w:type="dxa"/>
            <w:vAlign w:val="center"/>
          </w:tcPr>
          <w:p w14:paraId="3685C97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eastAsia="新細明體" w:cs="Calibri"/>
                <w:color w:val="000000"/>
                <w:kern w:val="0"/>
                <w:sz w:val="18"/>
                <w:szCs w:val="18"/>
                <w14:ligatures w14:val="none"/>
              </w:rPr>
              <w:t>Cost/ TEU</w:t>
            </w:r>
          </w:p>
        </w:tc>
        <w:tc>
          <w:tcPr>
            <w:tcW w:w="762" w:type="dxa"/>
            <w:vAlign w:val="center"/>
          </w:tcPr>
          <w:p w14:paraId="458DE32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p>
        </w:tc>
      </w:tr>
      <w:tr w:rsidR="00E87A4F" w:rsidRPr="00864C4F" w14:paraId="51B0920C"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noWrap/>
            <w:vAlign w:val="center"/>
            <w:hideMark/>
          </w:tcPr>
          <w:p w14:paraId="0A6601D7"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Running cost ship</w:t>
            </w:r>
          </w:p>
        </w:tc>
        <w:tc>
          <w:tcPr>
            <w:tcW w:w="1177" w:type="dxa"/>
            <w:noWrap/>
            <w:vAlign w:val="center"/>
            <w:hideMark/>
          </w:tcPr>
          <w:p w14:paraId="06615AB8"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480936.36</w:t>
            </w:r>
          </w:p>
        </w:tc>
        <w:tc>
          <w:tcPr>
            <w:tcW w:w="1177" w:type="dxa"/>
            <w:vAlign w:val="center"/>
          </w:tcPr>
          <w:p w14:paraId="5FE1EE8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20.069</w:t>
            </w:r>
          </w:p>
        </w:tc>
        <w:tc>
          <w:tcPr>
            <w:tcW w:w="1086" w:type="dxa"/>
            <w:vAlign w:val="center"/>
          </w:tcPr>
          <w:p w14:paraId="7987A46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480936.36</w:t>
            </w:r>
          </w:p>
        </w:tc>
        <w:tc>
          <w:tcPr>
            <w:tcW w:w="1177" w:type="dxa"/>
            <w:vAlign w:val="center"/>
          </w:tcPr>
          <w:p w14:paraId="63BADF94"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864C4F">
              <w:rPr>
                <w:rFonts w:cs="Calibri"/>
                <w:color w:val="000000"/>
                <w:sz w:val="18"/>
                <w:szCs w:val="18"/>
              </w:rPr>
              <w:t>20.069</w:t>
            </w:r>
          </w:p>
        </w:tc>
        <w:tc>
          <w:tcPr>
            <w:tcW w:w="762" w:type="dxa"/>
            <w:vAlign w:val="center"/>
          </w:tcPr>
          <w:p w14:paraId="13201AC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01691C3D"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7DDFA7F4"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Manning cost ship</w:t>
            </w:r>
          </w:p>
        </w:tc>
        <w:tc>
          <w:tcPr>
            <w:tcW w:w="1177" w:type="dxa"/>
            <w:shd w:val="clear" w:color="auto" w:fill="FFFFFF" w:themeFill="background1"/>
            <w:noWrap/>
            <w:vAlign w:val="center"/>
            <w:hideMark/>
          </w:tcPr>
          <w:p w14:paraId="083B346E"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207612.09</w:t>
            </w:r>
          </w:p>
        </w:tc>
        <w:tc>
          <w:tcPr>
            <w:tcW w:w="1177" w:type="dxa"/>
            <w:shd w:val="clear" w:color="auto" w:fill="FFFFFF" w:themeFill="background1"/>
            <w:vAlign w:val="center"/>
          </w:tcPr>
          <w:p w14:paraId="62570BF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8.663</w:t>
            </w:r>
          </w:p>
        </w:tc>
        <w:tc>
          <w:tcPr>
            <w:tcW w:w="1086" w:type="dxa"/>
            <w:shd w:val="clear" w:color="auto" w:fill="FFFFFF" w:themeFill="background1"/>
            <w:vAlign w:val="center"/>
          </w:tcPr>
          <w:p w14:paraId="40720E4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207612.09</w:t>
            </w:r>
          </w:p>
        </w:tc>
        <w:tc>
          <w:tcPr>
            <w:tcW w:w="1177" w:type="dxa"/>
            <w:shd w:val="clear" w:color="auto" w:fill="FFFFFF" w:themeFill="background1"/>
            <w:vAlign w:val="center"/>
          </w:tcPr>
          <w:p w14:paraId="729B22B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864C4F">
              <w:rPr>
                <w:rFonts w:cs="Calibri"/>
                <w:color w:val="000000"/>
                <w:sz w:val="18"/>
                <w:szCs w:val="18"/>
              </w:rPr>
              <w:t>8.663</w:t>
            </w:r>
          </w:p>
        </w:tc>
        <w:tc>
          <w:tcPr>
            <w:tcW w:w="762" w:type="dxa"/>
            <w:shd w:val="clear" w:color="auto" w:fill="FFFFFF" w:themeFill="background1"/>
            <w:vAlign w:val="center"/>
          </w:tcPr>
          <w:p w14:paraId="4490C88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0EBEE645"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386D110D"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Store cost</w:t>
            </w:r>
          </w:p>
        </w:tc>
        <w:tc>
          <w:tcPr>
            <w:tcW w:w="1177" w:type="dxa"/>
            <w:shd w:val="clear" w:color="auto" w:fill="FFFFFF" w:themeFill="background1"/>
            <w:noWrap/>
            <w:vAlign w:val="center"/>
            <w:hideMark/>
          </w:tcPr>
          <w:p w14:paraId="4B33DEBD"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8306.57</w:t>
            </w:r>
          </w:p>
        </w:tc>
        <w:tc>
          <w:tcPr>
            <w:tcW w:w="1177" w:type="dxa"/>
            <w:shd w:val="clear" w:color="auto" w:fill="FFFFFF" w:themeFill="background1"/>
            <w:vAlign w:val="center"/>
          </w:tcPr>
          <w:p w14:paraId="1FF4D4C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0.347</w:t>
            </w:r>
          </w:p>
        </w:tc>
        <w:tc>
          <w:tcPr>
            <w:tcW w:w="1086" w:type="dxa"/>
            <w:shd w:val="clear" w:color="auto" w:fill="FFFFFF" w:themeFill="background1"/>
            <w:vAlign w:val="center"/>
          </w:tcPr>
          <w:p w14:paraId="0E92864C"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8306.57</w:t>
            </w:r>
          </w:p>
        </w:tc>
        <w:tc>
          <w:tcPr>
            <w:tcW w:w="1177" w:type="dxa"/>
            <w:shd w:val="clear" w:color="auto" w:fill="FFFFFF" w:themeFill="background1"/>
            <w:vAlign w:val="center"/>
          </w:tcPr>
          <w:p w14:paraId="2636BC1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864C4F">
              <w:rPr>
                <w:rFonts w:cs="Calibri"/>
                <w:color w:val="000000"/>
                <w:sz w:val="18"/>
                <w:szCs w:val="18"/>
              </w:rPr>
              <w:t>0.347</w:t>
            </w:r>
          </w:p>
        </w:tc>
        <w:tc>
          <w:tcPr>
            <w:tcW w:w="762" w:type="dxa"/>
            <w:shd w:val="clear" w:color="auto" w:fill="FFFFFF" w:themeFill="background1"/>
            <w:vAlign w:val="center"/>
          </w:tcPr>
          <w:p w14:paraId="1CDABE3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41E467C6"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4C94ACB3"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Insurance cost</w:t>
            </w:r>
          </w:p>
        </w:tc>
        <w:tc>
          <w:tcPr>
            <w:tcW w:w="1177" w:type="dxa"/>
            <w:shd w:val="clear" w:color="auto" w:fill="FFFFFF" w:themeFill="background1"/>
            <w:noWrap/>
            <w:vAlign w:val="center"/>
            <w:hideMark/>
          </w:tcPr>
          <w:p w14:paraId="7EB21B60"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217422.36</w:t>
            </w:r>
          </w:p>
        </w:tc>
        <w:tc>
          <w:tcPr>
            <w:tcW w:w="1177" w:type="dxa"/>
            <w:shd w:val="clear" w:color="auto" w:fill="FFFFFF" w:themeFill="background1"/>
            <w:vAlign w:val="center"/>
          </w:tcPr>
          <w:p w14:paraId="11D1359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9.073</w:t>
            </w:r>
          </w:p>
        </w:tc>
        <w:tc>
          <w:tcPr>
            <w:tcW w:w="1086" w:type="dxa"/>
            <w:shd w:val="clear" w:color="auto" w:fill="FFFFFF" w:themeFill="background1"/>
            <w:vAlign w:val="center"/>
          </w:tcPr>
          <w:p w14:paraId="2202150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217422.36</w:t>
            </w:r>
          </w:p>
        </w:tc>
        <w:tc>
          <w:tcPr>
            <w:tcW w:w="1177" w:type="dxa"/>
            <w:shd w:val="clear" w:color="auto" w:fill="FFFFFF" w:themeFill="background1"/>
            <w:vAlign w:val="center"/>
          </w:tcPr>
          <w:p w14:paraId="44ECD32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864C4F">
              <w:rPr>
                <w:rFonts w:cs="Calibri"/>
                <w:color w:val="000000"/>
                <w:sz w:val="18"/>
                <w:szCs w:val="18"/>
              </w:rPr>
              <w:t>9.073</w:t>
            </w:r>
          </w:p>
        </w:tc>
        <w:tc>
          <w:tcPr>
            <w:tcW w:w="762" w:type="dxa"/>
            <w:shd w:val="clear" w:color="auto" w:fill="FFFFFF" w:themeFill="background1"/>
            <w:vAlign w:val="center"/>
          </w:tcPr>
          <w:p w14:paraId="4C6E634D"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3BD7AB1B"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726DF8DC"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lastRenderedPageBreak/>
              <w:t xml:space="preserve">Repair and </w:t>
            </w:r>
            <w:proofErr w:type="spellStart"/>
            <w:r w:rsidRPr="002E6C29">
              <w:rPr>
                <w:rFonts w:eastAsia="新細明體" w:cs="Calibri"/>
                <w:color w:val="auto"/>
                <w:kern w:val="0"/>
                <w:sz w:val="18"/>
                <w:szCs w:val="18"/>
                <w14:ligatures w14:val="none"/>
              </w:rPr>
              <w:t>Maintainance</w:t>
            </w:r>
            <w:proofErr w:type="spellEnd"/>
            <w:r w:rsidRPr="002E6C29">
              <w:rPr>
                <w:rFonts w:eastAsia="新細明體" w:cs="Calibri"/>
                <w:color w:val="auto"/>
                <w:kern w:val="0"/>
                <w:sz w:val="18"/>
                <w:szCs w:val="18"/>
                <w14:ligatures w14:val="none"/>
              </w:rPr>
              <w:t xml:space="preserve"> cost</w:t>
            </w:r>
          </w:p>
        </w:tc>
        <w:tc>
          <w:tcPr>
            <w:tcW w:w="1177" w:type="dxa"/>
            <w:shd w:val="clear" w:color="auto" w:fill="FFFFFF" w:themeFill="background1"/>
            <w:noWrap/>
            <w:vAlign w:val="center"/>
            <w:hideMark/>
          </w:tcPr>
          <w:p w14:paraId="7FF0F944"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18890.76</w:t>
            </w:r>
          </w:p>
        </w:tc>
        <w:tc>
          <w:tcPr>
            <w:tcW w:w="1177" w:type="dxa"/>
            <w:shd w:val="clear" w:color="auto" w:fill="FFFFFF" w:themeFill="background1"/>
            <w:vAlign w:val="center"/>
          </w:tcPr>
          <w:p w14:paraId="5A97B4E4"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0.788</w:t>
            </w:r>
          </w:p>
        </w:tc>
        <w:tc>
          <w:tcPr>
            <w:tcW w:w="1086" w:type="dxa"/>
            <w:shd w:val="clear" w:color="auto" w:fill="FFFFFF" w:themeFill="background1"/>
            <w:vAlign w:val="center"/>
          </w:tcPr>
          <w:p w14:paraId="09036D2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18890.76</w:t>
            </w:r>
          </w:p>
        </w:tc>
        <w:tc>
          <w:tcPr>
            <w:tcW w:w="1177" w:type="dxa"/>
            <w:shd w:val="clear" w:color="auto" w:fill="FFFFFF" w:themeFill="background1"/>
            <w:vAlign w:val="center"/>
          </w:tcPr>
          <w:p w14:paraId="637FB20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864C4F">
              <w:rPr>
                <w:rFonts w:cs="Calibri"/>
                <w:color w:val="000000"/>
                <w:sz w:val="18"/>
                <w:szCs w:val="18"/>
              </w:rPr>
              <w:t>0.788</w:t>
            </w:r>
          </w:p>
        </w:tc>
        <w:tc>
          <w:tcPr>
            <w:tcW w:w="762" w:type="dxa"/>
            <w:shd w:val="clear" w:color="auto" w:fill="FFFFFF" w:themeFill="background1"/>
            <w:vAlign w:val="center"/>
          </w:tcPr>
          <w:p w14:paraId="34DDCB94"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5DF74636"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5BCC0971"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Management cost</w:t>
            </w:r>
          </w:p>
        </w:tc>
        <w:tc>
          <w:tcPr>
            <w:tcW w:w="1177" w:type="dxa"/>
            <w:shd w:val="clear" w:color="auto" w:fill="FFFFFF" w:themeFill="background1"/>
            <w:noWrap/>
            <w:vAlign w:val="center"/>
            <w:hideMark/>
          </w:tcPr>
          <w:p w14:paraId="3D931DB3"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28704.57</w:t>
            </w:r>
          </w:p>
        </w:tc>
        <w:tc>
          <w:tcPr>
            <w:tcW w:w="1177" w:type="dxa"/>
            <w:shd w:val="clear" w:color="auto" w:fill="FFFFFF" w:themeFill="background1"/>
            <w:vAlign w:val="center"/>
          </w:tcPr>
          <w:p w14:paraId="4FE73A3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1.198</w:t>
            </w:r>
          </w:p>
        </w:tc>
        <w:tc>
          <w:tcPr>
            <w:tcW w:w="1086" w:type="dxa"/>
            <w:shd w:val="clear" w:color="auto" w:fill="FFFFFF" w:themeFill="background1"/>
            <w:vAlign w:val="center"/>
          </w:tcPr>
          <w:p w14:paraId="74B10FD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28704.57</w:t>
            </w:r>
          </w:p>
        </w:tc>
        <w:tc>
          <w:tcPr>
            <w:tcW w:w="1177" w:type="dxa"/>
            <w:shd w:val="clear" w:color="auto" w:fill="FFFFFF" w:themeFill="background1"/>
            <w:vAlign w:val="center"/>
          </w:tcPr>
          <w:p w14:paraId="47B8BBD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864C4F">
              <w:rPr>
                <w:rFonts w:cs="Calibri"/>
                <w:color w:val="000000"/>
                <w:sz w:val="18"/>
                <w:szCs w:val="18"/>
              </w:rPr>
              <w:t>1.198</w:t>
            </w:r>
          </w:p>
        </w:tc>
        <w:tc>
          <w:tcPr>
            <w:tcW w:w="762" w:type="dxa"/>
            <w:shd w:val="clear" w:color="auto" w:fill="FFFFFF" w:themeFill="background1"/>
            <w:vAlign w:val="center"/>
          </w:tcPr>
          <w:p w14:paraId="150AE4C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4C7308A3"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noWrap/>
            <w:vAlign w:val="center"/>
            <w:hideMark/>
          </w:tcPr>
          <w:p w14:paraId="724D6DFD"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Voyage cost ship</w:t>
            </w:r>
          </w:p>
        </w:tc>
        <w:tc>
          <w:tcPr>
            <w:tcW w:w="1177" w:type="dxa"/>
            <w:noWrap/>
            <w:vAlign w:val="center"/>
            <w:hideMark/>
          </w:tcPr>
          <w:p w14:paraId="1F818417"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7626546.21</w:t>
            </w:r>
          </w:p>
        </w:tc>
        <w:tc>
          <w:tcPr>
            <w:tcW w:w="1177" w:type="dxa"/>
            <w:vAlign w:val="center"/>
          </w:tcPr>
          <w:p w14:paraId="46B51F87"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318.250</w:t>
            </w:r>
          </w:p>
        </w:tc>
        <w:tc>
          <w:tcPr>
            <w:tcW w:w="1086" w:type="dxa"/>
            <w:vAlign w:val="center"/>
          </w:tcPr>
          <w:p w14:paraId="2D87483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7468903.58</w:t>
            </w:r>
          </w:p>
        </w:tc>
        <w:tc>
          <w:tcPr>
            <w:tcW w:w="1177" w:type="dxa"/>
            <w:vAlign w:val="center"/>
          </w:tcPr>
          <w:p w14:paraId="39EA85C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864C4F">
              <w:rPr>
                <w:rFonts w:cs="Calibri"/>
                <w:color w:val="000000"/>
                <w:sz w:val="18"/>
                <w:szCs w:val="18"/>
              </w:rPr>
              <w:t>311.672</w:t>
            </w:r>
          </w:p>
        </w:tc>
        <w:tc>
          <w:tcPr>
            <w:tcW w:w="762" w:type="dxa"/>
            <w:vAlign w:val="center"/>
          </w:tcPr>
          <w:p w14:paraId="751BF42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-0.021</w:t>
            </w:r>
          </w:p>
        </w:tc>
      </w:tr>
      <w:tr w:rsidR="00E87A4F" w:rsidRPr="00864C4F" w14:paraId="452CA124"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741F2828"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Fuel cost ship in Port</w:t>
            </w:r>
          </w:p>
        </w:tc>
        <w:tc>
          <w:tcPr>
            <w:tcW w:w="1177" w:type="dxa"/>
            <w:shd w:val="clear" w:color="auto" w:fill="FFFFFF" w:themeFill="background1"/>
            <w:noWrap/>
            <w:vAlign w:val="center"/>
            <w:hideMark/>
          </w:tcPr>
          <w:p w14:paraId="6A5489A7"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202937.41</w:t>
            </w:r>
          </w:p>
        </w:tc>
        <w:tc>
          <w:tcPr>
            <w:tcW w:w="1177" w:type="dxa"/>
            <w:shd w:val="clear" w:color="auto" w:fill="FFFFFF" w:themeFill="background1"/>
            <w:vAlign w:val="center"/>
          </w:tcPr>
          <w:p w14:paraId="4831C71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rFonts w:cs="Calibri"/>
                <w:sz w:val="18"/>
                <w:szCs w:val="18"/>
              </w:rPr>
              <w:t>8.468</w:t>
            </w:r>
          </w:p>
        </w:tc>
        <w:tc>
          <w:tcPr>
            <w:tcW w:w="1086" w:type="dxa"/>
            <w:shd w:val="clear" w:color="auto" w:fill="FFFFFF" w:themeFill="background1"/>
            <w:vAlign w:val="center"/>
          </w:tcPr>
          <w:p w14:paraId="38AF03F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202937.41</w:t>
            </w:r>
          </w:p>
        </w:tc>
        <w:tc>
          <w:tcPr>
            <w:tcW w:w="1177" w:type="dxa"/>
            <w:shd w:val="clear" w:color="auto" w:fill="FFFFFF" w:themeFill="background1"/>
            <w:vAlign w:val="center"/>
          </w:tcPr>
          <w:p w14:paraId="2D37C8F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sz w:val="18"/>
                <w:szCs w:val="18"/>
              </w:rPr>
            </w:pPr>
            <w:r w:rsidRPr="00864C4F">
              <w:rPr>
                <w:rFonts w:cs="Calibri"/>
                <w:sz w:val="18"/>
                <w:szCs w:val="18"/>
              </w:rPr>
              <w:t>8.468</w:t>
            </w:r>
          </w:p>
        </w:tc>
        <w:tc>
          <w:tcPr>
            <w:tcW w:w="762" w:type="dxa"/>
            <w:shd w:val="clear" w:color="auto" w:fill="FFFFFF" w:themeFill="background1"/>
            <w:vAlign w:val="center"/>
          </w:tcPr>
          <w:p w14:paraId="502561F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sz w:val="18"/>
                <w:szCs w:val="18"/>
              </w:rPr>
              <w:t>0</w:t>
            </w:r>
          </w:p>
        </w:tc>
      </w:tr>
      <w:tr w:rsidR="00E87A4F" w:rsidRPr="00864C4F" w14:paraId="67BA9346"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5C2EBC71"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Fuel cost ship ECA</w:t>
            </w:r>
          </w:p>
        </w:tc>
        <w:tc>
          <w:tcPr>
            <w:tcW w:w="1177" w:type="dxa"/>
            <w:shd w:val="clear" w:color="auto" w:fill="FFFFFF" w:themeFill="background1"/>
            <w:noWrap/>
            <w:vAlign w:val="center"/>
            <w:hideMark/>
          </w:tcPr>
          <w:p w14:paraId="08001724"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473412.93</w:t>
            </w:r>
          </w:p>
        </w:tc>
        <w:tc>
          <w:tcPr>
            <w:tcW w:w="1177" w:type="dxa"/>
            <w:shd w:val="clear" w:color="auto" w:fill="FFFFFF" w:themeFill="background1"/>
            <w:vAlign w:val="center"/>
          </w:tcPr>
          <w:p w14:paraId="06847CA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19.755</w:t>
            </w:r>
          </w:p>
        </w:tc>
        <w:tc>
          <w:tcPr>
            <w:tcW w:w="1086" w:type="dxa"/>
            <w:shd w:val="clear" w:color="auto" w:fill="FFFFFF" w:themeFill="background1"/>
            <w:vAlign w:val="center"/>
          </w:tcPr>
          <w:p w14:paraId="23ADB09D"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315770.3</w:t>
            </w:r>
          </w:p>
        </w:tc>
        <w:tc>
          <w:tcPr>
            <w:tcW w:w="1177" w:type="dxa"/>
            <w:shd w:val="clear" w:color="auto" w:fill="FFFFFF" w:themeFill="background1"/>
            <w:vAlign w:val="center"/>
          </w:tcPr>
          <w:p w14:paraId="595D2A2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sz w:val="18"/>
                <w:szCs w:val="18"/>
              </w:rPr>
            </w:pPr>
            <w:r w:rsidRPr="00864C4F">
              <w:rPr>
                <w:rFonts w:cs="Calibri"/>
                <w:sz w:val="18"/>
                <w:szCs w:val="18"/>
              </w:rPr>
              <w:t>13.177</w:t>
            </w:r>
          </w:p>
        </w:tc>
        <w:tc>
          <w:tcPr>
            <w:tcW w:w="762" w:type="dxa"/>
            <w:shd w:val="clear" w:color="auto" w:fill="FFFFFF" w:themeFill="background1"/>
            <w:vAlign w:val="center"/>
          </w:tcPr>
          <w:p w14:paraId="662655E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sz w:val="18"/>
                <w:szCs w:val="18"/>
              </w:rPr>
              <w:t>-0.333</w:t>
            </w:r>
          </w:p>
        </w:tc>
      </w:tr>
      <w:tr w:rsidR="00E87A4F" w:rsidRPr="00864C4F" w14:paraId="5CB18F00"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7BB0D724"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Fuel cost ship Non ECA</w:t>
            </w:r>
          </w:p>
        </w:tc>
        <w:tc>
          <w:tcPr>
            <w:tcW w:w="1177" w:type="dxa"/>
            <w:shd w:val="clear" w:color="auto" w:fill="FFFFFF" w:themeFill="background1"/>
            <w:noWrap/>
            <w:vAlign w:val="center"/>
            <w:hideMark/>
          </w:tcPr>
          <w:p w14:paraId="4A3A83CD"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4454960.32</w:t>
            </w:r>
          </w:p>
        </w:tc>
        <w:tc>
          <w:tcPr>
            <w:tcW w:w="1177" w:type="dxa"/>
            <w:shd w:val="clear" w:color="auto" w:fill="FFFFFF" w:themeFill="background1"/>
            <w:vAlign w:val="center"/>
          </w:tcPr>
          <w:p w14:paraId="41DF35E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rFonts w:cs="Calibri"/>
                <w:sz w:val="18"/>
                <w:szCs w:val="18"/>
              </w:rPr>
              <w:t>185.902</w:t>
            </w:r>
          </w:p>
        </w:tc>
        <w:tc>
          <w:tcPr>
            <w:tcW w:w="1086" w:type="dxa"/>
            <w:shd w:val="clear" w:color="auto" w:fill="FFFFFF" w:themeFill="background1"/>
            <w:vAlign w:val="center"/>
          </w:tcPr>
          <w:p w14:paraId="2B239E0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4454960.32</w:t>
            </w:r>
          </w:p>
        </w:tc>
        <w:tc>
          <w:tcPr>
            <w:tcW w:w="1177" w:type="dxa"/>
            <w:shd w:val="clear" w:color="auto" w:fill="FFFFFF" w:themeFill="background1"/>
            <w:vAlign w:val="center"/>
          </w:tcPr>
          <w:p w14:paraId="10718A5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sz w:val="18"/>
                <w:szCs w:val="18"/>
              </w:rPr>
            </w:pPr>
            <w:r w:rsidRPr="00864C4F">
              <w:rPr>
                <w:rFonts w:cs="Calibri"/>
                <w:sz w:val="18"/>
                <w:szCs w:val="18"/>
              </w:rPr>
              <w:t>185.902</w:t>
            </w:r>
          </w:p>
        </w:tc>
        <w:tc>
          <w:tcPr>
            <w:tcW w:w="762" w:type="dxa"/>
            <w:shd w:val="clear" w:color="auto" w:fill="FFFFFF" w:themeFill="background1"/>
            <w:vAlign w:val="center"/>
          </w:tcPr>
          <w:p w14:paraId="6ED42C3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sz w:val="18"/>
                <w:szCs w:val="18"/>
              </w:rPr>
              <w:t>0</w:t>
            </w:r>
          </w:p>
        </w:tc>
      </w:tr>
      <w:tr w:rsidR="00E87A4F" w:rsidRPr="00864C4F" w14:paraId="2853D985"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22C7DC6D" w14:textId="77777777" w:rsidR="00E87A4F" w:rsidRPr="002E6C29" w:rsidRDefault="00E87A4F" w:rsidP="00477688">
            <w:pPr>
              <w:widowControl/>
              <w:jc w:val="center"/>
              <w:rPr>
                <w:rFonts w:eastAsia="新細明體" w:cs="Calibri"/>
                <w:color w:val="auto"/>
                <w:kern w:val="0"/>
                <w:sz w:val="18"/>
                <w:szCs w:val="18"/>
                <w14:ligatures w14:val="none"/>
              </w:rPr>
            </w:pPr>
            <w:proofErr w:type="spellStart"/>
            <w:r w:rsidRPr="002E6C29">
              <w:rPr>
                <w:rFonts w:eastAsia="新細明體" w:cs="Calibri"/>
                <w:color w:val="auto"/>
                <w:kern w:val="0"/>
                <w:sz w:val="18"/>
                <w:szCs w:val="18"/>
                <w14:ligatures w14:val="none"/>
              </w:rPr>
              <w:t>Lub</w:t>
            </w:r>
            <w:proofErr w:type="spellEnd"/>
            <w:r w:rsidRPr="002E6C29">
              <w:rPr>
                <w:rFonts w:eastAsia="新細明體" w:cs="Calibri"/>
                <w:color w:val="auto"/>
                <w:kern w:val="0"/>
                <w:sz w:val="18"/>
                <w:szCs w:val="18"/>
                <w14:ligatures w14:val="none"/>
              </w:rPr>
              <w:t xml:space="preserve"> oil cost ship</w:t>
            </w:r>
          </w:p>
        </w:tc>
        <w:tc>
          <w:tcPr>
            <w:tcW w:w="1177" w:type="dxa"/>
            <w:shd w:val="clear" w:color="auto" w:fill="FFFFFF" w:themeFill="background1"/>
            <w:noWrap/>
            <w:vAlign w:val="center"/>
            <w:hideMark/>
          </w:tcPr>
          <w:p w14:paraId="68600AE0"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27717.86</w:t>
            </w:r>
          </w:p>
        </w:tc>
        <w:tc>
          <w:tcPr>
            <w:tcW w:w="1177" w:type="dxa"/>
            <w:shd w:val="clear" w:color="auto" w:fill="FFFFFF" w:themeFill="background1"/>
            <w:vAlign w:val="center"/>
          </w:tcPr>
          <w:p w14:paraId="478E25F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1.157</w:t>
            </w:r>
          </w:p>
        </w:tc>
        <w:tc>
          <w:tcPr>
            <w:tcW w:w="1086" w:type="dxa"/>
            <w:shd w:val="clear" w:color="auto" w:fill="FFFFFF" w:themeFill="background1"/>
            <w:vAlign w:val="center"/>
          </w:tcPr>
          <w:p w14:paraId="33525DFA"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27717.86</w:t>
            </w:r>
          </w:p>
        </w:tc>
        <w:tc>
          <w:tcPr>
            <w:tcW w:w="1177" w:type="dxa"/>
            <w:shd w:val="clear" w:color="auto" w:fill="FFFFFF" w:themeFill="background1"/>
            <w:vAlign w:val="center"/>
          </w:tcPr>
          <w:p w14:paraId="79EC07F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sz w:val="18"/>
                <w:szCs w:val="18"/>
              </w:rPr>
            </w:pPr>
            <w:r w:rsidRPr="00864C4F">
              <w:rPr>
                <w:rFonts w:cs="Calibri"/>
                <w:sz w:val="18"/>
                <w:szCs w:val="18"/>
              </w:rPr>
              <w:t>1.157</w:t>
            </w:r>
          </w:p>
        </w:tc>
        <w:tc>
          <w:tcPr>
            <w:tcW w:w="762" w:type="dxa"/>
            <w:shd w:val="clear" w:color="auto" w:fill="FFFFFF" w:themeFill="background1"/>
            <w:vAlign w:val="center"/>
          </w:tcPr>
          <w:p w14:paraId="6EFAD89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sz w:val="18"/>
                <w:szCs w:val="18"/>
              </w:rPr>
              <w:t>0</w:t>
            </w:r>
          </w:p>
        </w:tc>
      </w:tr>
      <w:tr w:rsidR="00E87A4F" w:rsidRPr="00864C4F" w14:paraId="6239E4FF"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33CC93DE"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Cannel cost ship</w:t>
            </w:r>
          </w:p>
        </w:tc>
        <w:tc>
          <w:tcPr>
            <w:tcW w:w="1177" w:type="dxa"/>
            <w:shd w:val="clear" w:color="auto" w:fill="FFFFFF" w:themeFill="background1"/>
            <w:noWrap/>
            <w:vAlign w:val="center"/>
            <w:hideMark/>
          </w:tcPr>
          <w:p w14:paraId="4A51693D"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2053900.37</w:t>
            </w:r>
          </w:p>
        </w:tc>
        <w:tc>
          <w:tcPr>
            <w:tcW w:w="1177" w:type="dxa"/>
            <w:shd w:val="clear" w:color="auto" w:fill="FFFFFF" w:themeFill="background1"/>
            <w:vAlign w:val="center"/>
          </w:tcPr>
          <w:p w14:paraId="303F2ED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rFonts w:cs="Calibri"/>
                <w:sz w:val="18"/>
                <w:szCs w:val="18"/>
              </w:rPr>
              <w:t>85.708</w:t>
            </w:r>
          </w:p>
        </w:tc>
        <w:tc>
          <w:tcPr>
            <w:tcW w:w="1086" w:type="dxa"/>
            <w:shd w:val="clear" w:color="auto" w:fill="FFFFFF" w:themeFill="background1"/>
            <w:vAlign w:val="center"/>
          </w:tcPr>
          <w:p w14:paraId="02F4B43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2053900.37</w:t>
            </w:r>
          </w:p>
        </w:tc>
        <w:tc>
          <w:tcPr>
            <w:tcW w:w="1177" w:type="dxa"/>
            <w:shd w:val="clear" w:color="auto" w:fill="FFFFFF" w:themeFill="background1"/>
            <w:vAlign w:val="center"/>
          </w:tcPr>
          <w:p w14:paraId="00B3629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sz w:val="18"/>
                <w:szCs w:val="18"/>
              </w:rPr>
            </w:pPr>
            <w:r w:rsidRPr="00864C4F">
              <w:rPr>
                <w:rFonts w:cs="Calibri"/>
                <w:sz w:val="18"/>
                <w:szCs w:val="18"/>
              </w:rPr>
              <w:t>85.708</w:t>
            </w:r>
          </w:p>
        </w:tc>
        <w:tc>
          <w:tcPr>
            <w:tcW w:w="762" w:type="dxa"/>
            <w:shd w:val="clear" w:color="auto" w:fill="FFFFFF" w:themeFill="background1"/>
            <w:vAlign w:val="center"/>
          </w:tcPr>
          <w:p w14:paraId="7CDA6AA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sz w:val="18"/>
                <w:szCs w:val="18"/>
              </w:rPr>
              <w:t>0</w:t>
            </w:r>
          </w:p>
        </w:tc>
      </w:tr>
      <w:tr w:rsidR="00E87A4F" w:rsidRPr="00864C4F" w14:paraId="1878FB8F"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6212E61F"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ETS cost ship</w:t>
            </w:r>
          </w:p>
        </w:tc>
        <w:tc>
          <w:tcPr>
            <w:tcW w:w="1177" w:type="dxa"/>
            <w:shd w:val="clear" w:color="auto" w:fill="FFFFFF" w:themeFill="background1"/>
            <w:noWrap/>
            <w:vAlign w:val="center"/>
            <w:hideMark/>
          </w:tcPr>
          <w:p w14:paraId="0A132B27"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413617.32</w:t>
            </w:r>
          </w:p>
        </w:tc>
        <w:tc>
          <w:tcPr>
            <w:tcW w:w="1177" w:type="dxa"/>
            <w:shd w:val="clear" w:color="auto" w:fill="FFFFFF" w:themeFill="background1"/>
            <w:vAlign w:val="center"/>
          </w:tcPr>
          <w:p w14:paraId="1C6B1C4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17.260</w:t>
            </w:r>
          </w:p>
        </w:tc>
        <w:tc>
          <w:tcPr>
            <w:tcW w:w="1086" w:type="dxa"/>
            <w:shd w:val="clear" w:color="auto" w:fill="FFFFFF" w:themeFill="background1"/>
            <w:vAlign w:val="center"/>
          </w:tcPr>
          <w:p w14:paraId="5427E67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413617.32</w:t>
            </w:r>
          </w:p>
        </w:tc>
        <w:tc>
          <w:tcPr>
            <w:tcW w:w="1177" w:type="dxa"/>
            <w:shd w:val="clear" w:color="auto" w:fill="FFFFFF" w:themeFill="background1"/>
            <w:vAlign w:val="center"/>
          </w:tcPr>
          <w:p w14:paraId="19C06E6C"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sz w:val="18"/>
                <w:szCs w:val="18"/>
              </w:rPr>
            </w:pPr>
            <w:r w:rsidRPr="00864C4F">
              <w:rPr>
                <w:rFonts w:cs="Calibri"/>
                <w:sz w:val="18"/>
                <w:szCs w:val="18"/>
              </w:rPr>
              <w:t>17.260</w:t>
            </w:r>
          </w:p>
        </w:tc>
        <w:tc>
          <w:tcPr>
            <w:tcW w:w="762" w:type="dxa"/>
            <w:shd w:val="clear" w:color="auto" w:fill="FFFFFF" w:themeFill="background1"/>
            <w:vAlign w:val="center"/>
          </w:tcPr>
          <w:p w14:paraId="0658D1E5"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sz w:val="18"/>
                <w:szCs w:val="18"/>
              </w:rPr>
              <w:t>0</w:t>
            </w:r>
          </w:p>
        </w:tc>
      </w:tr>
      <w:tr w:rsidR="00E87A4F" w:rsidRPr="00864C4F" w14:paraId="21A5C6A7"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74576DB8"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External cost at sea</w:t>
            </w:r>
          </w:p>
        </w:tc>
        <w:tc>
          <w:tcPr>
            <w:tcW w:w="1177" w:type="dxa"/>
            <w:shd w:val="clear" w:color="auto" w:fill="FFFFFF" w:themeFill="background1"/>
            <w:noWrap/>
            <w:vAlign w:val="center"/>
            <w:hideMark/>
          </w:tcPr>
          <w:p w14:paraId="591924B4"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w:t>
            </w:r>
          </w:p>
        </w:tc>
        <w:tc>
          <w:tcPr>
            <w:tcW w:w="1177" w:type="dxa"/>
            <w:shd w:val="clear" w:color="auto" w:fill="FFFFFF" w:themeFill="background1"/>
            <w:vAlign w:val="center"/>
          </w:tcPr>
          <w:p w14:paraId="34A1E6C8"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p>
        </w:tc>
        <w:tc>
          <w:tcPr>
            <w:tcW w:w="1086" w:type="dxa"/>
            <w:shd w:val="clear" w:color="auto" w:fill="FFFFFF" w:themeFill="background1"/>
            <w:vAlign w:val="center"/>
          </w:tcPr>
          <w:p w14:paraId="421F54E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w:t>
            </w:r>
          </w:p>
        </w:tc>
        <w:tc>
          <w:tcPr>
            <w:tcW w:w="1177" w:type="dxa"/>
            <w:shd w:val="clear" w:color="auto" w:fill="FFFFFF" w:themeFill="background1"/>
            <w:vAlign w:val="center"/>
          </w:tcPr>
          <w:p w14:paraId="47082DD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p>
        </w:tc>
        <w:tc>
          <w:tcPr>
            <w:tcW w:w="762" w:type="dxa"/>
            <w:shd w:val="clear" w:color="auto" w:fill="FFFFFF" w:themeFill="background1"/>
            <w:vAlign w:val="center"/>
          </w:tcPr>
          <w:p w14:paraId="1FD3F68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p>
        </w:tc>
      </w:tr>
      <w:tr w:rsidR="00E87A4F" w:rsidRPr="00864C4F" w14:paraId="7F99331F"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noWrap/>
            <w:vAlign w:val="center"/>
            <w:hideMark/>
          </w:tcPr>
          <w:p w14:paraId="6FC2C92F"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Port cost</w:t>
            </w:r>
          </w:p>
        </w:tc>
        <w:tc>
          <w:tcPr>
            <w:tcW w:w="1177" w:type="dxa"/>
            <w:noWrap/>
            <w:vAlign w:val="center"/>
            <w:hideMark/>
          </w:tcPr>
          <w:p w14:paraId="1EAD0C15"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177" w:type="dxa"/>
            <w:vAlign w:val="center"/>
          </w:tcPr>
          <w:p w14:paraId="6FB54CC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086" w:type="dxa"/>
            <w:vAlign w:val="center"/>
          </w:tcPr>
          <w:p w14:paraId="194F759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177" w:type="dxa"/>
            <w:vAlign w:val="center"/>
          </w:tcPr>
          <w:p w14:paraId="185FE3AD"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762" w:type="dxa"/>
            <w:vAlign w:val="center"/>
          </w:tcPr>
          <w:p w14:paraId="31AE1CF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r>
      <w:tr w:rsidR="00E87A4F" w:rsidRPr="00864C4F" w14:paraId="5C47CA76"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334B29D8"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Total port charges</w:t>
            </w:r>
          </w:p>
        </w:tc>
        <w:tc>
          <w:tcPr>
            <w:tcW w:w="1177" w:type="dxa"/>
            <w:shd w:val="clear" w:color="auto" w:fill="FFFFFF" w:themeFill="background1"/>
            <w:noWrap/>
            <w:vAlign w:val="center"/>
            <w:hideMark/>
          </w:tcPr>
          <w:p w14:paraId="6591076D"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1302973.74</w:t>
            </w:r>
          </w:p>
        </w:tc>
        <w:tc>
          <w:tcPr>
            <w:tcW w:w="1177" w:type="dxa"/>
            <w:shd w:val="clear" w:color="auto" w:fill="FFFFFF" w:themeFill="background1"/>
            <w:vAlign w:val="center"/>
          </w:tcPr>
          <w:p w14:paraId="07D6D72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rFonts w:cs="Calibri"/>
                <w:sz w:val="18"/>
                <w:szCs w:val="18"/>
              </w:rPr>
              <w:t>54.372</w:t>
            </w:r>
          </w:p>
        </w:tc>
        <w:tc>
          <w:tcPr>
            <w:tcW w:w="1086" w:type="dxa"/>
            <w:shd w:val="clear" w:color="auto" w:fill="FFFFFF" w:themeFill="background1"/>
            <w:vAlign w:val="center"/>
          </w:tcPr>
          <w:p w14:paraId="58081AD4"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1302973.74</w:t>
            </w:r>
          </w:p>
        </w:tc>
        <w:tc>
          <w:tcPr>
            <w:tcW w:w="1177" w:type="dxa"/>
            <w:shd w:val="clear" w:color="auto" w:fill="FFFFFF" w:themeFill="background1"/>
            <w:vAlign w:val="center"/>
          </w:tcPr>
          <w:p w14:paraId="49FA0AE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sz w:val="18"/>
                <w:szCs w:val="18"/>
              </w:rPr>
            </w:pPr>
            <w:r w:rsidRPr="00864C4F">
              <w:rPr>
                <w:rFonts w:cs="Calibri"/>
                <w:sz w:val="18"/>
                <w:szCs w:val="18"/>
              </w:rPr>
              <w:t>54.372</w:t>
            </w:r>
          </w:p>
        </w:tc>
        <w:tc>
          <w:tcPr>
            <w:tcW w:w="762" w:type="dxa"/>
            <w:shd w:val="clear" w:color="auto" w:fill="FFFFFF" w:themeFill="background1"/>
            <w:vAlign w:val="center"/>
          </w:tcPr>
          <w:p w14:paraId="18825D7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sz w:val="18"/>
                <w:szCs w:val="18"/>
              </w:rPr>
            </w:pPr>
            <w:r w:rsidRPr="00864C4F">
              <w:rPr>
                <w:sz w:val="18"/>
                <w:szCs w:val="18"/>
              </w:rPr>
              <w:t>0</w:t>
            </w:r>
          </w:p>
        </w:tc>
      </w:tr>
      <w:tr w:rsidR="00E87A4F" w:rsidRPr="00864C4F" w14:paraId="570F7E0D"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shd w:val="clear" w:color="auto" w:fill="FFFFFF" w:themeFill="background1"/>
            <w:noWrap/>
            <w:vAlign w:val="center"/>
            <w:hideMark/>
          </w:tcPr>
          <w:p w14:paraId="492EE7DC" w14:textId="77777777" w:rsidR="00E87A4F" w:rsidRPr="002E6C29" w:rsidRDefault="00E87A4F" w:rsidP="00477688">
            <w:pPr>
              <w:widowControl/>
              <w:jc w:val="center"/>
              <w:rPr>
                <w:rFonts w:eastAsia="新細明體" w:cs="Calibri"/>
                <w:color w:val="auto"/>
                <w:kern w:val="0"/>
                <w:sz w:val="18"/>
                <w:szCs w:val="18"/>
                <w14:ligatures w14:val="none"/>
              </w:rPr>
            </w:pPr>
            <w:r w:rsidRPr="002E6C29">
              <w:rPr>
                <w:rFonts w:eastAsia="新細明體" w:cs="Calibri"/>
                <w:color w:val="auto"/>
                <w:kern w:val="0"/>
                <w:sz w:val="18"/>
                <w:szCs w:val="18"/>
                <w14:ligatures w14:val="none"/>
              </w:rPr>
              <w:t>Port handling cost</w:t>
            </w:r>
          </w:p>
        </w:tc>
        <w:tc>
          <w:tcPr>
            <w:tcW w:w="1177" w:type="dxa"/>
            <w:shd w:val="clear" w:color="auto" w:fill="FFFFFF" w:themeFill="background1"/>
            <w:noWrap/>
            <w:vAlign w:val="center"/>
            <w:hideMark/>
          </w:tcPr>
          <w:p w14:paraId="2781B858"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2E6C29">
              <w:rPr>
                <w:rFonts w:eastAsia="新細明體" w:cs="Calibri"/>
                <w:kern w:val="0"/>
                <w:sz w:val="18"/>
                <w:szCs w:val="18"/>
                <w14:ligatures w14:val="none"/>
              </w:rPr>
              <w:t>7403357.85</w:t>
            </w:r>
          </w:p>
        </w:tc>
        <w:tc>
          <w:tcPr>
            <w:tcW w:w="1177" w:type="dxa"/>
            <w:shd w:val="clear" w:color="auto" w:fill="FFFFFF" w:themeFill="background1"/>
            <w:vAlign w:val="center"/>
          </w:tcPr>
          <w:p w14:paraId="3689BE25"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308.937</w:t>
            </w:r>
          </w:p>
        </w:tc>
        <w:tc>
          <w:tcPr>
            <w:tcW w:w="1086" w:type="dxa"/>
            <w:shd w:val="clear" w:color="auto" w:fill="FFFFFF" w:themeFill="background1"/>
            <w:vAlign w:val="center"/>
          </w:tcPr>
          <w:p w14:paraId="5D50516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cs="Calibri"/>
                <w:sz w:val="18"/>
                <w:szCs w:val="18"/>
              </w:rPr>
              <w:t>7403357.85</w:t>
            </w:r>
          </w:p>
        </w:tc>
        <w:tc>
          <w:tcPr>
            <w:tcW w:w="1177" w:type="dxa"/>
            <w:shd w:val="clear" w:color="auto" w:fill="FFFFFF" w:themeFill="background1"/>
            <w:vAlign w:val="center"/>
          </w:tcPr>
          <w:p w14:paraId="6D50C77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sz w:val="18"/>
                <w:szCs w:val="18"/>
              </w:rPr>
            </w:pPr>
            <w:r w:rsidRPr="00864C4F">
              <w:rPr>
                <w:rFonts w:cs="Calibri"/>
                <w:sz w:val="18"/>
                <w:szCs w:val="18"/>
              </w:rPr>
              <w:t>308.937</w:t>
            </w:r>
          </w:p>
        </w:tc>
        <w:tc>
          <w:tcPr>
            <w:tcW w:w="762" w:type="dxa"/>
            <w:shd w:val="clear" w:color="auto" w:fill="FFFFFF" w:themeFill="background1"/>
            <w:vAlign w:val="center"/>
          </w:tcPr>
          <w:p w14:paraId="4F003C2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sz w:val="18"/>
                <w:szCs w:val="18"/>
              </w:rPr>
            </w:pPr>
            <w:r w:rsidRPr="00864C4F">
              <w:rPr>
                <w:sz w:val="18"/>
                <w:szCs w:val="18"/>
              </w:rPr>
              <w:t>0</w:t>
            </w:r>
          </w:p>
        </w:tc>
      </w:tr>
      <w:tr w:rsidR="00E87A4F" w:rsidRPr="00864C4F" w14:paraId="0ED3564D"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noWrap/>
            <w:vAlign w:val="center"/>
            <w:hideMark/>
          </w:tcPr>
          <w:p w14:paraId="08639E2E" w14:textId="77777777" w:rsidR="00E87A4F" w:rsidRPr="00864C4F" w:rsidRDefault="00E87A4F" w:rsidP="00477688">
            <w:pPr>
              <w:widowControl/>
              <w:jc w:val="center"/>
              <w:rPr>
                <w:rFonts w:eastAsia="新細明體" w:cs="Calibri"/>
                <w:b w:val="0"/>
                <w:bCs w:val="0"/>
                <w:kern w:val="0"/>
                <w:sz w:val="18"/>
                <w:szCs w:val="18"/>
                <w14:ligatures w14:val="none"/>
              </w:rPr>
            </w:pPr>
            <w:r w:rsidRPr="002E6C29">
              <w:rPr>
                <w:rFonts w:eastAsia="新細明體" w:cs="Calibri"/>
                <w:kern w:val="0"/>
                <w:sz w:val="18"/>
                <w:szCs w:val="18"/>
                <w14:ligatures w14:val="none"/>
              </w:rPr>
              <w:t>Total variable cost ship per loop</w:t>
            </w:r>
          </w:p>
          <w:p w14:paraId="70B7FBF0"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(including port charges)</w:t>
            </w:r>
          </w:p>
        </w:tc>
        <w:tc>
          <w:tcPr>
            <w:tcW w:w="1177" w:type="dxa"/>
            <w:noWrap/>
            <w:vAlign w:val="center"/>
            <w:hideMark/>
          </w:tcPr>
          <w:p w14:paraId="5D490CFD"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9410456.3</w:t>
            </w:r>
          </w:p>
        </w:tc>
        <w:tc>
          <w:tcPr>
            <w:tcW w:w="1177" w:type="dxa"/>
            <w:vAlign w:val="center"/>
          </w:tcPr>
          <w:p w14:paraId="568427D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392.691</w:t>
            </w:r>
          </w:p>
        </w:tc>
        <w:tc>
          <w:tcPr>
            <w:tcW w:w="1086" w:type="dxa"/>
            <w:vAlign w:val="center"/>
          </w:tcPr>
          <w:p w14:paraId="26F94C7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9252813.67</w:t>
            </w:r>
          </w:p>
        </w:tc>
        <w:tc>
          <w:tcPr>
            <w:tcW w:w="1177" w:type="dxa"/>
            <w:vAlign w:val="center"/>
          </w:tcPr>
          <w:p w14:paraId="44F6E6D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864C4F">
              <w:rPr>
                <w:rFonts w:cs="Calibri"/>
                <w:color w:val="000000"/>
                <w:sz w:val="18"/>
                <w:szCs w:val="18"/>
              </w:rPr>
              <w:t>386.113</w:t>
            </w:r>
          </w:p>
        </w:tc>
        <w:tc>
          <w:tcPr>
            <w:tcW w:w="762" w:type="dxa"/>
            <w:vAlign w:val="center"/>
          </w:tcPr>
          <w:p w14:paraId="4F01B040"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-0.017</w:t>
            </w:r>
          </w:p>
        </w:tc>
      </w:tr>
      <w:tr w:rsidR="00E87A4F" w:rsidRPr="00864C4F" w14:paraId="515E70A9"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noWrap/>
            <w:vAlign w:val="center"/>
            <w:hideMark/>
          </w:tcPr>
          <w:p w14:paraId="5CA293A6"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Fixed cost ship per loop</w:t>
            </w:r>
          </w:p>
        </w:tc>
        <w:tc>
          <w:tcPr>
            <w:tcW w:w="1177" w:type="dxa"/>
            <w:noWrap/>
            <w:vAlign w:val="center"/>
            <w:hideMark/>
          </w:tcPr>
          <w:p w14:paraId="640732AD"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3977508.98</w:t>
            </w:r>
          </w:p>
        </w:tc>
        <w:tc>
          <w:tcPr>
            <w:tcW w:w="1177" w:type="dxa"/>
            <w:vAlign w:val="center"/>
          </w:tcPr>
          <w:p w14:paraId="032FFBD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165.979</w:t>
            </w:r>
          </w:p>
        </w:tc>
        <w:tc>
          <w:tcPr>
            <w:tcW w:w="1086" w:type="dxa"/>
            <w:vAlign w:val="center"/>
          </w:tcPr>
          <w:p w14:paraId="62DDAE57"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3977508.98</w:t>
            </w:r>
          </w:p>
        </w:tc>
        <w:tc>
          <w:tcPr>
            <w:tcW w:w="1177" w:type="dxa"/>
            <w:vAlign w:val="center"/>
          </w:tcPr>
          <w:p w14:paraId="6D7618C5"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864C4F">
              <w:rPr>
                <w:rFonts w:cs="Calibri"/>
                <w:color w:val="000000"/>
                <w:sz w:val="18"/>
                <w:szCs w:val="18"/>
              </w:rPr>
              <w:t>165.979</w:t>
            </w:r>
          </w:p>
        </w:tc>
        <w:tc>
          <w:tcPr>
            <w:tcW w:w="762" w:type="dxa"/>
            <w:vAlign w:val="center"/>
          </w:tcPr>
          <w:p w14:paraId="66A1344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43F7D4FF" w14:textId="77777777" w:rsidTr="0047768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177" w:type="dxa"/>
            <w:noWrap/>
            <w:vAlign w:val="center"/>
            <w:hideMark/>
          </w:tcPr>
          <w:p w14:paraId="2F14F570"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Total port handling cost per loop</w:t>
            </w:r>
          </w:p>
        </w:tc>
        <w:tc>
          <w:tcPr>
            <w:tcW w:w="1177" w:type="dxa"/>
            <w:noWrap/>
            <w:vAlign w:val="center"/>
            <w:hideMark/>
          </w:tcPr>
          <w:p w14:paraId="52188EB2"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7403357.85</w:t>
            </w:r>
          </w:p>
        </w:tc>
        <w:tc>
          <w:tcPr>
            <w:tcW w:w="1177" w:type="dxa"/>
            <w:vAlign w:val="center"/>
          </w:tcPr>
          <w:p w14:paraId="132727A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086" w:type="dxa"/>
            <w:vAlign w:val="center"/>
          </w:tcPr>
          <w:p w14:paraId="60299F44"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7403357.85</w:t>
            </w:r>
          </w:p>
        </w:tc>
        <w:tc>
          <w:tcPr>
            <w:tcW w:w="1177" w:type="dxa"/>
            <w:vAlign w:val="center"/>
          </w:tcPr>
          <w:p w14:paraId="37CFCCD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864C4F">
              <w:rPr>
                <w:rFonts w:cs="Calibri"/>
                <w:color w:val="000000"/>
                <w:sz w:val="18"/>
                <w:szCs w:val="18"/>
              </w:rPr>
              <w:t>308.937</w:t>
            </w:r>
          </w:p>
        </w:tc>
        <w:tc>
          <w:tcPr>
            <w:tcW w:w="762" w:type="dxa"/>
            <w:vAlign w:val="center"/>
          </w:tcPr>
          <w:p w14:paraId="39F3405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E87A4F" w:rsidRPr="00864C4F" w14:paraId="7E1F096A" w14:textId="77777777" w:rsidTr="00477688">
        <w:trPr>
          <w:trHeight w:val="290"/>
          <w:jc w:val="center"/>
        </w:trPr>
        <w:tc>
          <w:tcPr>
            <w:cnfStyle w:val="001000000000" w:firstRow="0" w:lastRow="0" w:firstColumn="1" w:lastColumn="0" w:oddVBand="0" w:evenVBand="0" w:oddHBand="0" w:evenHBand="0" w:firstRowFirstColumn="0" w:firstRowLastColumn="0" w:lastRowFirstColumn="0" w:lastRowLastColumn="0"/>
            <w:tcW w:w="2177" w:type="dxa"/>
            <w:noWrap/>
            <w:vAlign w:val="center"/>
            <w:hideMark/>
          </w:tcPr>
          <w:p w14:paraId="15B3057E"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Total cost ship per loop</w:t>
            </w:r>
          </w:p>
        </w:tc>
        <w:tc>
          <w:tcPr>
            <w:tcW w:w="1177" w:type="dxa"/>
            <w:noWrap/>
            <w:vAlign w:val="center"/>
            <w:hideMark/>
          </w:tcPr>
          <w:p w14:paraId="0FE677DC"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b/>
                <w:bCs/>
                <w:color w:val="000000"/>
                <w:kern w:val="0"/>
                <w:sz w:val="18"/>
                <w:szCs w:val="18"/>
                <w14:ligatures w14:val="none"/>
              </w:rPr>
            </w:pPr>
            <w:r w:rsidRPr="002E6C29">
              <w:rPr>
                <w:rFonts w:eastAsia="新細明體" w:cs="Calibri"/>
                <w:b/>
                <w:bCs/>
                <w:color w:val="000000"/>
                <w:kern w:val="0"/>
                <w:sz w:val="18"/>
                <w:szCs w:val="18"/>
                <w14:ligatures w14:val="none"/>
              </w:rPr>
              <w:t>20791323.13</w:t>
            </w:r>
          </w:p>
        </w:tc>
        <w:tc>
          <w:tcPr>
            <w:tcW w:w="1177" w:type="dxa"/>
            <w:vAlign w:val="center"/>
          </w:tcPr>
          <w:p w14:paraId="1790F88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b/>
                <w:bCs/>
                <w:color w:val="000000"/>
                <w:sz w:val="18"/>
                <w:szCs w:val="18"/>
              </w:rPr>
            </w:pPr>
            <w:r w:rsidRPr="00864C4F">
              <w:rPr>
                <w:rFonts w:cs="Calibri"/>
                <w:b/>
                <w:bCs/>
                <w:color w:val="000000"/>
                <w:sz w:val="18"/>
                <w:szCs w:val="18"/>
              </w:rPr>
              <w:t>867.607</w:t>
            </w:r>
          </w:p>
        </w:tc>
        <w:tc>
          <w:tcPr>
            <w:tcW w:w="1086" w:type="dxa"/>
            <w:vAlign w:val="center"/>
          </w:tcPr>
          <w:p w14:paraId="2F9B496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b/>
                <w:bCs/>
                <w:color w:val="000000"/>
                <w:kern w:val="0"/>
                <w:sz w:val="18"/>
                <w:szCs w:val="18"/>
                <w14:ligatures w14:val="none"/>
              </w:rPr>
            </w:pPr>
            <w:r w:rsidRPr="00864C4F">
              <w:rPr>
                <w:rFonts w:cs="Calibri"/>
                <w:b/>
                <w:bCs/>
                <w:color w:val="000000"/>
                <w:sz w:val="18"/>
                <w:szCs w:val="18"/>
              </w:rPr>
              <w:t>20633680.5</w:t>
            </w:r>
          </w:p>
        </w:tc>
        <w:tc>
          <w:tcPr>
            <w:tcW w:w="1177" w:type="dxa"/>
            <w:vAlign w:val="center"/>
          </w:tcPr>
          <w:p w14:paraId="735CDA7F"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864C4F">
              <w:rPr>
                <w:rFonts w:cs="Calibri"/>
                <w:b/>
                <w:bCs/>
                <w:color w:val="000000"/>
                <w:sz w:val="18"/>
                <w:szCs w:val="18"/>
              </w:rPr>
              <w:t>861.028</w:t>
            </w:r>
          </w:p>
        </w:tc>
        <w:tc>
          <w:tcPr>
            <w:tcW w:w="762" w:type="dxa"/>
            <w:vAlign w:val="center"/>
          </w:tcPr>
          <w:p w14:paraId="4C373CA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b/>
                <w:bCs/>
                <w:color w:val="000000"/>
                <w:sz w:val="18"/>
                <w:szCs w:val="18"/>
              </w:rPr>
            </w:pPr>
            <w:r w:rsidRPr="00864C4F">
              <w:rPr>
                <w:color w:val="000000"/>
                <w:sz w:val="18"/>
                <w:szCs w:val="18"/>
              </w:rPr>
              <w:t>-0.008</w:t>
            </w:r>
          </w:p>
        </w:tc>
      </w:tr>
    </w:tbl>
    <w:p w14:paraId="25F009A4" w14:textId="77777777" w:rsidR="0002311C" w:rsidRPr="00864C4F" w:rsidRDefault="0002311C" w:rsidP="0002311C">
      <w:pPr>
        <w:rPr>
          <w:rFonts w:cs="Calibri"/>
        </w:rPr>
      </w:pPr>
    </w:p>
    <w:p w14:paraId="2E95886E" w14:textId="77777777" w:rsidR="00CB5E55" w:rsidRPr="00864C4F" w:rsidRDefault="00CB5E55" w:rsidP="00CB5E55">
      <w:pPr>
        <w:pStyle w:val="ListParagraph"/>
        <w:numPr>
          <w:ilvl w:val="0"/>
          <w:numId w:val="1"/>
        </w:numPr>
        <w:rPr>
          <w:rFonts w:cs="Calibri"/>
          <w:sz w:val="22"/>
          <w:szCs w:val="22"/>
        </w:rPr>
      </w:pPr>
      <w:r w:rsidRPr="00864C4F">
        <w:rPr>
          <w:rFonts w:cs="Calibri"/>
          <w:sz w:val="22"/>
          <w:szCs w:val="22"/>
        </w:rPr>
        <w:t>LNG</w:t>
      </w:r>
    </w:p>
    <w:p w14:paraId="399FC24C" w14:textId="77777777" w:rsidR="00CB5E55" w:rsidRPr="00864C4F" w:rsidRDefault="00CB5E55" w:rsidP="00CB5E55">
      <w:pPr>
        <w:rPr>
          <w:rFonts w:cs="Calibri"/>
          <w:sz w:val="22"/>
          <w:szCs w:val="22"/>
        </w:rPr>
      </w:pPr>
      <w:r w:rsidRPr="00864C4F">
        <w:rPr>
          <w:rFonts w:cs="Calibri"/>
          <w:sz w:val="22"/>
          <w:szCs w:val="22"/>
        </w:rPr>
        <w:t>LNG (Liquefied Natural Gas) is considered an alternative fuel for shipping, because it has very low sulfur content and produces less NOx, PM, and CO₂ compared to traditional fuels. This helps reduce pollution and lower the environmental impact of shipping. Additionally, in some markets, LNG is more cost-competitive than MGO  and HFO. However, since LNG bunkering facilities are limited, refueling can be inconvenient, thus reducing operational flexibility for shipping companies.</w:t>
      </w:r>
    </w:p>
    <w:p w14:paraId="030DFCF3" w14:textId="3CB5C544" w:rsidR="00FC4B7D" w:rsidRPr="00864C4F" w:rsidRDefault="000E5D14" w:rsidP="000E5D14">
      <w:pPr>
        <w:rPr>
          <w:rFonts w:cs="Calibri"/>
          <w:sz w:val="22"/>
          <w:szCs w:val="22"/>
        </w:rPr>
      </w:pPr>
      <w:r w:rsidRPr="00864C4F">
        <w:rPr>
          <w:rFonts w:cs="Calibri"/>
          <w:sz w:val="22"/>
          <w:szCs w:val="22"/>
        </w:rPr>
        <w:t>To analyze its impact on vessel costs, LNG fuel is used as a substitute in the calculation.</w:t>
      </w:r>
      <w:r w:rsidR="005253F2" w:rsidRPr="00864C4F">
        <w:rPr>
          <w:rFonts w:cs="Calibri"/>
          <w:sz w:val="22"/>
          <w:szCs w:val="22"/>
        </w:rPr>
        <w:t xml:space="preserve"> </w:t>
      </w:r>
      <w:r w:rsidR="005253F2" w:rsidRPr="00864C4F">
        <w:rPr>
          <w:rFonts w:cs="Calibri"/>
          <w:sz w:val="22"/>
          <w:szCs w:val="22"/>
        </w:rPr>
        <w:t xml:space="preserve">The result of chain cost calculation can be seen in Table </w:t>
      </w:r>
      <w:r w:rsidR="005E2449">
        <w:rPr>
          <w:rFonts w:cs="Calibri" w:hint="eastAsia"/>
          <w:sz w:val="22"/>
          <w:szCs w:val="22"/>
        </w:rPr>
        <w:t>X</w:t>
      </w:r>
      <w:r w:rsidR="005253F2" w:rsidRPr="00864C4F">
        <w:rPr>
          <w:rFonts w:cs="Calibri"/>
          <w:sz w:val="22"/>
          <w:szCs w:val="22"/>
        </w:rPr>
        <w:t>.</w:t>
      </w:r>
      <w:r w:rsidR="00FC4B7D" w:rsidRPr="00864C4F">
        <w:rPr>
          <w:rFonts w:cs="Calibri"/>
          <w:sz w:val="22"/>
          <w:szCs w:val="22"/>
        </w:rPr>
        <w:t xml:space="preserve"> </w:t>
      </w:r>
      <w:r w:rsidRPr="00864C4F">
        <w:rPr>
          <w:rFonts w:cs="Calibri"/>
          <w:sz w:val="22"/>
          <w:szCs w:val="22"/>
        </w:rPr>
        <w:t xml:space="preserve">As shown in the table, LNG significantly increases maritime costs by up to 85%, leading to a total generalized chain cost of 3138, which is 1.2 times higher than using MDO. </w:t>
      </w:r>
    </w:p>
    <w:p w14:paraId="673665CD" w14:textId="2D09DE19" w:rsidR="00CB5E55" w:rsidRPr="00864C4F" w:rsidRDefault="000E5D14" w:rsidP="00CB5E55">
      <w:pPr>
        <w:rPr>
          <w:rFonts w:cs="Calibri"/>
          <w:sz w:val="22"/>
          <w:szCs w:val="22"/>
        </w:rPr>
      </w:pPr>
      <w:r w:rsidRPr="00864C4F">
        <w:rPr>
          <w:rFonts w:cs="Calibri"/>
          <w:sz w:val="22"/>
          <w:szCs w:val="22"/>
        </w:rPr>
        <w:t xml:space="preserve">Furthermore, </w:t>
      </w:r>
      <w:r w:rsidR="006D0ECA" w:rsidRPr="00864C4F">
        <w:rPr>
          <w:rFonts w:cs="Calibri"/>
          <w:sz w:val="22"/>
          <w:szCs w:val="22"/>
        </w:rPr>
        <w:t>a</w:t>
      </w:r>
      <w:r w:rsidR="006D0ECA" w:rsidRPr="00864C4F">
        <w:rPr>
          <w:rFonts w:cs="Calibri"/>
          <w:sz w:val="22"/>
          <w:szCs w:val="22"/>
        </w:rPr>
        <w:t>ccording to the calculation model,</w:t>
      </w:r>
      <w:r w:rsidR="006D0ECA" w:rsidRPr="00864C4F">
        <w:rPr>
          <w:rFonts w:cs="Calibri"/>
          <w:sz w:val="22"/>
          <w:szCs w:val="22"/>
        </w:rPr>
        <w:t xml:space="preserve"> </w:t>
      </w:r>
      <w:r w:rsidRPr="00864C4F">
        <w:rPr>
          <w:rFonts w:cs="Calibri"/>
          <w:sz w:val="22"/>
          <w:szCs w:val="22"/>
        </w:rPr>
        <w:t xml:space="preserve">LNG fuel has a substantial impact on </w:t>
      </w:r>
      <w:r w:rsidRPr="00864C4F">
        <w:rPr>
          <w:rFonts w:cs="Calibri"/>
          <w:sz w:val="22"/>
          <w:szCs w:val="22"/>
        </w:rPr>
        <w:lastRenderedPageBreak/>
        <w:t xml:space="preserve">vessel costs, particularly voyage costs, which now account for 84% to 94% of the total variable cost per loop. </w:t>
      </w:r>
      <w:r w:rsidR="00483B9D">
        <w:rPr>
          <w:rFonts w:cs="Calibri" w:hint="eastAsia"/>
          <w:sz w:val="22"/>
          <w:szCs w:val="22"/>
        </w:rPr>
        <w:t>As shown in Table X, t</w:t>
      </w:r>
      <w:r w:rsidRPr="00864C4F">
        <w:rPr>
          <w:rFonts w:cs="Calibri"/>
          <w:sz w:val="22"/>
          <w:szCs w:val="22"/>
        </w:rPr>
        <w:t>he fuel cost in ECA zones increased by 265%, while in Non-ECA zones, it rose by 447%, and in ports, it increased by 7%. This indicates that the primary cost increase comes from fuel expenses, as LNG</w:t>
      </w:r>
      <w:r w:rsidR="002E0845" w:rsidRPr="00864C4F">
        <w:rPr>
          <w:rFonts w:cs="Calibri"/>
          <w:sz w:val="22"/>
          <w:szCs w:val="22"/>
        </w:rPr>
        <w:t xml:space="preserve"> </w:t>
      </w:r>
      <w:r w:rsidR="00482537" w:rsidRPr="00864C4F">
        <w:rPr>
          <w:sz w:val="22"/>
          <w:szCs w:val="22"/>
        </w:rPr>
        <w:t>(</w:t>
      </w:r>
      <w:r w:rsidR="00482537" w:rsidRPr="00864C4F">
        <w:rPr>
          <w:rFonts w:cs="Calibri"/>
          <w:sz w:val="22"/>
          <w:szCs w:val="22"/>
        </w:rPr>
        <w:t>3564</w:t>
      </w:r>
      <w:r w:rsidRPr="00864C4F">
        <w:rPr>
          <w:rFonts w:cs="Calibri"/>
          <w:sz w:val="22"/>
          <w:szCs w:val="22"/>
        </w:rPr>
        <w:t xml:space="preserve"> </w:t>
      </w:r>
      <w:r w:rsidR="002E0845" w:rsidRPr="00864C4F">
        <w:rPr>
          <w:rFonts w:cs="Calibri"/>
          <w:sz w:val="22"/>
          <w:szCs w:val="22"/>
        </w:rPr>
        <w:t xml:space="preserve">EUR/ </w:t>
      </w:r>
      <w:proofErr w:type="spellStart"/>
      <w:r w:rsidR="002E0845" w:rsidRPr="00864C4F">
        <w:rPr>
          <w:rFonts w:cs="Calibri"/>
          <w:sz w:val="22"/>
          <w:szCs w:val="22"/>
        </w:rPr>
        <w:t>tonne</w:t>
      </w:r>
      <w:proofErr w:type="spellEnd"/>
      <w:r w:rsidR="002E0845" w:rsidRPr="00864C4F">
        <w:rPr>
          <w:rFonts w:cs="Calibri"/>
          <w:sz w:val="22"/>
          <w:szCs w:val="22"/>
        </w:rPr>
        <w:t>)</w:t>
      </w:r>
      <w:r w:rsidR="00E87A4F" w:rsidRPr="00864C4F">
        <w:rPr>
          <w:rFonts w:cs="Calibri"/>
          <w:sz w:val="22"/>
          <w:szCs w:val="22"/>
        </w:rPr>
        <w:t xml:space="preserve"> </w:t>
      </w:r>
      <w:r w:rsidRPr="00864C4F">
        <w:rPr>
          <w:rFonts w:cs="Calibri"/>
          <w:sz w:val="22"/>
          <w:szCs w:val="22"/>
        </w:rPr>
        <w:t>is</w:t>
      </w:r>
      <w:r w:rsidR="00482537" w:rsidRPr="00864C4F">
        <w:rPr>
          <w:rFonts w:cs="Calibri"/>
          <w:sz w:val="22"/>
          <w:szCs w:val="22"/>
        </w:rPr>
        <w:t xml:space="preserve"> </w:t>
      </w:r>
      <w:r w:rsidRPr="00864C4F">
        <w:rPr>
          <w:rFonts w:cs="Calibri"/>
          <w:sz w:val="22"/>
          <w:szCs w:val="22"/>
        </w:rPr>
        <w:t>significantly more expensive than HFO</w:t>
      </w:r>
      <w:r w:rsidR="007D5157" w:rsidRPr="00864C4F">
        <w:rPr>
          <w:rFonts w:cs="Calibri"/>
          <w:sz w:val="22"/>
          <w:szCs w:val="22"/>
        </w:rPr>
        <w:t>(</w:t>
      </w:r>
      <w:r w:rsidR="007D5157" w:rsidRPr="00864C4F">
        <w:rPr>
          <w:rFonts w:cs="Calibri"/>
          <w:sz w:val="22"/>
          <w:szCs w:val="22"/>
        </w:rPr>
        <w:t xml:space="preserve">651 EUR/ </w:t>
      </w:r>
      <w:proofErr w:type="spellStart"/>
      <w:r w:rsidR="007D5157" w:rsidRPr="00864C4F">
        <w:rPr>
          <w:rFonts w:cs="Calibri"/>
          <w:sz w:val="22"/>
          <w:szCs w:val="22"/>
        </w:rPr>
        <w:t>tonne</w:t>
      </w:r>
      <w:proofErr w:type="spellEnd"/>
      <w:r w:rsidR="007D5157" w:rsidRPr="00864C4F">
        <w:rPr>
          <w:rFonts w:cs="Calibri"/>
          <w:sz w:val="22"/>
          <w:szCs w:val="22"/>
        </w:rPr>
        <w:t>)</w:t>
      </w:r>
      <w:r w:rsidRPr="00864C4F">
        <w:rPr>
          <w:rFonts w:cs="Calibri"/>
          <w:sz w:val="22"/>
          <w:szCs w:val="22"/>
        </w:rPr>
        <w:t xml:space="preserve"> and MDO</w:t>
      </w:r>
      <w:r w:rsidR="00EA31F9" w:rsidRPr="00864C4F">
        <w:rPr>
          <w:rFonts w:cs="Calibri"/>
          <w:sz w:val="22"/>
          <w:szCs w:val="22"/>
        </w:rPr>
        <w:t xml:space="preserve"> (</w:t>
      </w:r>
      <w:r w:rsidR="00EA31F9" w:rsidRPr="00864C4F">
        <w:rPr>
          <w:rFonts w:cs="Calibri"/>
          <w:sz w:val="22"/>
          <w:szCs w:val="22"/>
        </w:rPr>
        <w:t>976</w:t>
      </w:r>
      <w:r w:rsidR="007D5157" w:rsidRPr="00864C4F">
        <w:rPr>
          <w:rFonts w:cs="Calibri"/>
          <w:sz w:val="22"/>
          <w:szCs w:val="22"/>
        </w:rPr>
        <w:t xml:space="preserve"> EUR/ </w:t>
      </w:r>
      <w:proofErr w:type="spellStart"/>
      <w:r w:rsidR="007D5157" w:rsidRPr="00864C4F">
        <w:rPr>
          <w:rFonts w:cs="Calibri"/>
          <w:sz w:val="22"/>
          <w:szCs w:val="22"/>
        </w:rPr>
        <w:t>tonne</w:t>
      </w:r>
      <w:proofErr w:type="spellEnd"/>
      <w:r w:rsidRPr="00864C4F">
        <w:rPr>
          <w:rFonts w:cs="Calibri"/>
          <w:sz w:val="22"/>
          <w:szCs w:val="22"/>
        </w:rPr>
        <w:t>), leading to a sharp rise in overall costs.</w:t>
      </w:r>
    </w:p>
    <w:p w14:paraId="75014CA2" w14:textId="43103CB9" w:rsidR="001F1175" w:rsidRPr="00864C4F" w:rsidRDefault="001F1175" w:rsidP="005E2449">
      <w:pPr>
        <w:jc w:val="center"/>
        <w:rPr>
          <w:rFonts w:cs="Calibri"/>
          <w:sz w:val="22"/>
          <w:szCs w:val="22"/>
        </w:rPr>
      </w:pPr>
      <w:r w:rsidRPr="00864C4F">
        <w:rPr>
          <w:rFonts w:cs="Calibri"/>
          <w:sz w:val="22"/>
          <w:szCs w:val="22"/>
        </w:rPr>
        <w:t xml:space="preserve">Comparison of Chain Cost: With vs Without </w:t>
      </w:r>
      <w:r w:rsidRPr="00864C4F">
        <w:rPr>
          <w:rFonts w:cs="Calibri"/>
          <w:sz w:val="22"/>
          <w:szCs w:val="22"/>
        </w:rPr>
        <w:t xml:space="preserve">LNG </w:t>
      </w:r>
      <w:r w:rsidRPr="00864C4F">
        <w:rPr>
          <w:rFonts w:cs="Calibri"/>
          <w:sz w:val="22"/>
          <w:szCs w:val="22"/>
        </w:rPr>
        <w:t>Directive for Xiamen – Zeebrugge route</w:t>
      </w:r>
    </w:p>
    <w:tbl>
      <w:tblPr>
        <w:tblStyle w:val="GridTable5Dark-Accent1"/>
        <w:tblW w:w="7651" w:type="dxa"/>
        <w:tblLayout w:type="fixed"/>
        <w:tblLook w:val="04A0" w:firstRow="1" w:lastRow="0" w:firstColumn="1" w:lastColumn="0" w:noHBand="0" w:noVBand="1"/>
      </w:tblPr>
      <w:tblGrid>
        <w:gridCol w:w="2972"/>
        <w:gridCol w:w="1559"/>
        <w:gridCol w:w="1560"/>
        <w:gridCol w:w="1560"/>
      </w:tblGrid>
      <w:tr w:rsidR="00CB5E55" w:rsidRPr="00864C4F" w14:paraId="19270F0A" w14:textId="77777777" w:rsidTr="009201D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2" w:type="dxa"/>
            <w:noWrap/>
          </w:tcPr>
          <w:p w14:paraId="2CEC622F" w14:textId="4B1152EF" w:rsidR="00CB5E55" w:rsidRPr="00864C4F" w:rsidRDefault="00D42BE2" w:rsidP="005E2449">
            <w:pPr>
              <w:widowControl/>
              <w:jc w:val="center"/>
              <w:rPr>
                <w:rFonts w:eastAsia="Yu Gothic UI Light" w:cs="Calibri"/>
                <w:color w:val="000000"/>
                <w:kern w:val="0"/>
                <w:sz w:val="18"/>
                <w:szCs w:val="18"/>
                <w14:ligatures w14:val="none"/>
              </w:rPr>
            </w:pPr>
            <w:r w:rsidRPr="00864C4F">
              <w:rPr>
                <w:rFonts w:cs="Calibri"/>
                <w:kern w:val="0"/>
                <w:sz w:val="18"/>
                <w:szCs w:val="18"/>
                <w14:ligatures w14:val="none"/>
              </w:rPr>
              <w:t>Chain Cost Components</w:t>
            </w:r>
          </w:p>
        </w:tc>
        <w:tc>
          <w:tcPr>
            <w:tcW w:w="1559" w:type="dxa"/>
            <w:noWrap/>
          </w:tcPr>
          <w:p w14:paraId="037F7075" w14:textId="77777777" w:rsidR="00CB5E55" w:rsidRPr="00864C4F" w:rsidRDefault="00CB5E55" w:rsidP="005E2449">
            <w:pPr>
              <w:widowControl/>
              <w:jc w:val="center"/>
              <w:cnfStyle w:val="100000000000" w:firstRow="1" w:lastRow="0" w:firstColumn="0" w:lastColumn="0" w:oddVBand="0" w:evenVBand="0" w:oddHBand="0" w:evenHBand="0" w:firstRowFirstColumn="0" w:firstRowLastColumn="0" w:lastRowFirstColumn="0" w:lastRowLastColumn="0"/>
              <w:rPr>
                <w:rFonts w:cs="Calibri"/>
                <w:kern w:val="0"/>
                <w:sz w:val="18"/>
                <w:szCs w:val="18"/>
                <w14:ligatures w14:val="none"/>
              </w:rPr>
            </w:pPr>
            <w:r w:rsidRPr="00864C4F">
              <w:rPr>
                <w:rFonts w:cs="Calibri"/>
                <w:kern w:val="0"/>
                <w:sz w:val="18"/>
                <w:szCs w:val="18"/>
                <w14:ligatures w14:val="none"/>
              </w:rPr>
              <w:t>Regular Fuel</w:t>
            </w:r>
          </w:p>
        </w:tc>
        <w:tc>
          <w:tcPr>
            <w:tcW w:w="1560" w:type="dxa"/>
          </w:tcPr>
          <w:p w14:paraId="4B09E1A4" w14:textId="034A4C8D" w:rsidR="00CB5E55" w:rsidRPr="00864C4F" w:rsidRDefault="00CB5E55" w:rsidP="005E2449">
            <w:pPr>
              <w:widowControl/>
              <w:jc w:val="center"/>
              <w:cnfStyle w:val="100000000000" w:firstRow="1"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 xml:space="preserve">Scrubber </w:t>
            </w:r>
            <w:r w:rsidR="0047101F" w:rsidRPr="00864C4F">
              <w:rPr>
                <w:rFonts w:cs="Calibri"/>
                <w:sz w:val="18"/>
                <w:szCs w:val="18"/>
              </w:rPr>
              <w:t>or LNG</w:t>
            </w:r>
          </w:p>
        </w:tc>
        <w:tc>
          <w:tcPr>
            <w:tcW w:w="1560" w:type="dxa"/>
          </w:tcPr>
          <w:p w14:paraId="55221FB4" w14:textId="77777777" w:rsidR="00CB5E55" w:rsidRPr="00864C4F" w:rsidRDefault="00CB5E55" w:rsidP="005E2449">
            <w:pPr>
              <w:widowControl/>
              <w:jc w:val="center"/>
              <w:cnfStyle w:val="100000000000" w:firstRow="1"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Change</w:t>
            </w:r>
          </w:p>
        </w:tc>
      </w:tr>
      <w:tr w:rsidR="00AA0403" w:rsidRPr="00864C4F" w14:paraId="1AC51FCA" w14:textId="77777777" w:rsidTr="009201D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2526B9DF" w14:textId="77777777" w:rsidR="00AA0403" w:rsidRPr="00FE1F56" w:rsidRDefault="00AA0403" w:rsidP="005E2449">
            <w:pPr>
              <w:widowControl/>
              <w:jc w:val="center"/>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From Hinterland cost</w:t>
            </w:r>
          </w:p>
        </w:tc>
        <w:tc>
          <w:tcPr>
            <w:tcW w:w="1559" w:type="dxa"/>
            <w:shd w:val="clear" w:color="auto" w:fill="FFFFFF" w:themeFill="background1"/>
            <w:noWrap/>
            <w:hideMark/>
          </w:tcPr>
          <w:p w14:paraId="59B55775" w14:textId="77777777" w:rsidR="00AA0403" w:rsidRPr="00FE1F56"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1085.74820</w:t>
            </w:r>
          </w:p>
        </w:tc>
        <w:tc>
          <w:tcPr>
            <w:tcW w:w="1560" w:type="dxa"/>
            <w:shd w:val="clear" w:color="auto" w:fill="FFFFFF" w:themeFill="background1"/>
          </w:tcPr>
          <w:p w14:paraId="1CE90D3B" w14:textId="004D0595" w:rsidR="00AA0403" w:rsidRPr="00864C4F"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color w:val="000000"/>
                <w:sz w:val="18"/>
                <w:szCs w:val="18"/>
              </w:rPr>
              <w:t>1085.74820</w:t>
            </w:r>
          </w:p>
        </w:tc>
        <w:tc>
          <w:tcPr>
            <w:tcW w:w="1560" w:type="dxa"/>
            <w:shd w:val="clear" w:color="auto" w:fill="FFFFFF" w:themeFill="background1"/>
          </w:tcPr>
          <w:p w14:paraId="33AD4F39" w14:textId="2DDC525A" w:rsidR="00AA0403" w:rsidRPr="00864C4F"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AA0403" w:rsidRPr="00864C4F" w14:paraId="0C365153" w14:textId="77777777" w:rsidTr="009201D8">
        <w:trPr>
          <w:trHeight w:val="29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1761594F" w14:textId="77777777" w:rsidR="00AA0403" w:rsidRPr="00FE1F56" w:rsidRDefault="00AA0403" w:rsidP="005E2449">
            <w:pPr>
              <w:widowControl/>
              <w:jc w:val="center"/>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From Port cost</w:t>
            </w:r>
          </w:p>
        </w:tc>
        <w:tc>
          <w:tcPr>
            <w:tcW w:w="1559" w:type="dxa"/>
            <w:shd w:val="clear" w:color="auto" w:fill="FFFFFF" w:themeFill="background1"/>
            <w:noWrap/>
            <w:hideMark/>
          </w:tcPr>
          <w:p w14:paraId="0CABE5C6" w14:textId="77777777" w:rsidR="00AA0403" w:rsidRPr="00FE1F56"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99.65251</w:t>
            </w:r>
          </w:p>
        </w:tc>
        <w:tc>
          <w:tcPr>
            <w:tcW w:w="1560" w:type="dxa"/>
            <w:shd w:val="clear" w:color="auto" w:fill="FFFFFF" w:themeFill="background1"/>
          </w:tcPr>
          <w:p w14:paraId="399A87A4" w14:textId="7F8CF2E8" w:rsidR="00AA0403" w:rsidRPr="00864C4F"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color w:val="000000"/>
                <w:sz w:val="18"/>
                <w:szCs w:val="18"/>
              </w:rPr>
              <w:t>99.65251</w:t>
            </w:r>
          </w:p>
        </w:tc>
        <w:tc>
          <w:tcPr>
            <w:tcW w:w="1560" w:type="dxa"/>
            <w:shd w:val="clear" w:color="auto" w:fill="FFFFFF" w:themeFill="background1"/>
          </w:tcPr>
          <w:p w14:paraId="78526695" w14:textId="33AF8872" w:rsidR="00AA0403" w:rsidRPr="00864C4F"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w:t>
            </w:r>
          </w:p>
        </w:tc>
      </w:tr>
      <w:tr w:rsidR="00AA0403" w:rsidRPr="00864C4F" w14:paraId="540415EF" w14:textId="77777777" w:rsidTr="009201D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1ADAA5E9" w14:textId="77777777" w:rsidR="00AA0403" w:rsidRPr="00FE1F56" w:rsidRDefault="00AA0403" w:rsidP="005E2449">
            <w:pPr>
              <w:widowControl/>
              <w:jc w:val="center"/>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Maritime cost</w:t>
            </w:r>
          </w:p>
        </w:tc>
        <w:tc>
          <w:tcPr>
            <w:tcW w:w="1559" w:type="dxa"/>
            <w:shd w:val="clear" w:color="auto" w:fill="FFFFFF" w:themeFill="background1"/>
            <w:noWrap/>
            <w:hideMark/>
          </w:tcPr>
          <w:p w14:paraId="511B9D6E" w14:textId="77777777" w:rsidR="00AA0403" w:rsidRPr="00FE1F56"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637.59082</w:t>
            </w:r>
          </w:p>
        </w:tc>
        <w:tc>
          <w:tcPr>
            <w:tcW w:w="1560" w:type="dxa"/>
            <w:shd w:val="clear" w:color="auto" w:fill="FFFFFF" w:themeFill="background1"/>
          </w:tcPr>
          <w:p w14:paraId="2B73713C" w14:textId="55F3D0A3" w:rsidR="00AA0403" w:rsidRPr="00864C4F"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color w:val="000000"/>
                <w:sz w:val="18"/>
                <w:szCs w:val="18"/>
              </w:rPr>
              <w:t>1180.09232</w:t>
            </w:r>
          </w:p>
        </w:tc>
        <w:tc>
          <w:tcPr>
            <w:tcW w:w="1560" w:type="dxa"/>
            <w:shd w:val="clear" w:color="auto" w:fill="FFFFFF" w:themeFill="background1"/>
          </w:tcPr>
          <w:p w14:paraId="06CBD056" w14:textId="62046B70" w:rsidR="00AA0403" w:rsidRPr="00864C4F"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0.850861532</w:t>
            </w:r>
          </w:p>
        </w:tc>
      </w:tr>
      <w:tr w:rsidR="00AA0403" w:rsidRPr="00864C4F" w14:paraId="6138624E" w14:textId="77777777" w:rsidTr="009201D8">
        <w:trPr>
          <w:trHeight w:val="29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3BCA4F7C" w14:textId="77777777" w:rsidR="00AA0403" w:rsidRPr="00FE1F56" w:rsidRDefault="00AA0403" w:rsidP="005E2449">
            <w:pPr>
              <w:widowControl/>
              <w:jc w:val="center"/>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To Port cost</w:t>
            </w:r>
          </w:p>
        </w:tc>
        <w:tc>
          <w:tcPr>
            <w:tcW w:w="1559" w:type="dxa"/>
            <w:shd w:val="clear" w:color="auto" w:fill="FFFFFF" w:themeFill="background1"/>
            <w:noWrap/>
            <w:hideMark/>
          </w:tcPr>
          <w:p w14:paraId="5B5823D5" w14:textId="77777777" w:rsidR="00AA0403" w:rsidRPr="00FE1F56"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381.82987</w:t>
            </w:r>
          </w:p>
        </w:tc>
        <w:tc>
          <w:tcPr>
            <w:tcW w:w="1560" w:type="dxa"/>
            <w:shd w:val="clear" w:color="auto" w:fill="FFFFFF" w:themeFill="background1"/>
          </w:tcPr>
          <w:p w14:paraId="5F638FC6" w14:textId="2D8C60F9" w:rsidR="00AA0403" w:rsidRPr="00864C4F"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color w:val="000000"/>
                <w:sz w:val="18"/>
                <w:szCs w:val="18"/>
              </w:rPr>
              <w:t>381.86849</w:t>
            </w:r>
          </w:p>
        </w:tc>
        <w:tc>
          <w:tcPr>
            <w:tcW w:w="1560" w:type="dxa"/>
            <w:shd w:val="clear" w:color="auto" w:fill="FFFFFF" w:themeFill="background1"/>
          </w:tcPr>
          <w:p w14:paraId="098F8044" w14:textId="690322BB" w:rsidR="00AA0403" w:rsidRPr="00864C4F"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0.000101135</w:t>
            </w:r>
          </w:p>
        </w:tc>
      </w:tr>
      <w:tr w:rsidR="00AA0403" w:rsidRPr="00864C4F" w14:paraId="7B69F2ED" w14:textId="77777777" w:rsidTr="009201D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4B202D9E" w14:textId="77777777" w:rsidR="00AA0403" w:rsidRPr="00FE1F56" w:rsidRDefault="00AA0403" w:rsidP="005E2449">
            <w:pPr>
              <w:widowControl/>
              <w:jc w:val="center"/>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To Hinterland cost</w:t>
            </w:r>
          </w:p>
        </w:tc>
        <w:tc>
          <w:tcPr>
            <w:tcW w:w="1559" w:type="dxa"/>
            <w:shd w:val="clear" w:color="auto" w:fill="FFFFFF" w:themeFill="background1"/>
            <w:noWrap/>
            <w:hideMark/>
          </w:tcPr>
          <w:p w14:paraId="2C82D3BA" w14:textId="77777777" w:rsidR="00AA0403" w:rsidRPr="00FE1F56"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390.61684</w:t>
            </w:r>
          </w:p>
        </w:tc>
        <w:tc>
          <w:tcPr>
            <w:tcW w:w="1560" w:type="dxa"/>
            <w:shd w:val="clear" w:color="auto" w:fill="FFFFFF" w:themeFill="background1"/>
          </w:tcPr>
          <w:p w14:paraId="32014B6E" w14:textId="74B8F660" w:rsidR="00AA0403" w:rsidRPr="00864C4F"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color w:val="000000"/>
                <w:sz w:val="18"/>
                <w:szCs w:val="18"/>
              </w:rPr>
              <w:t>390.61684</w:t>
            </w:r>
          </w:p>
        </w:tc>
        <w:tc>
          <w:tcPr>
            <w:tcW w:w="1560" w:type="dxa"/>
            <w:shd w:val="clear" w:color="auto" w:fill="FFFFFF" w:themeFill="background1"/>
          </w:tcPr>
          <w:p w14:paraId="76B79206" w14:textId="4790658E" w:rsidR="00AA0403" w:rsidRPr="00864C4F" w:rsidRDefault="00AA0403" w:rsidP="005E2449">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color w:val="000000"/>
                <w:sz w:val="18"/>
                <w:szCs w:val="18"/>
              </w:rPr>
              <w:t>0</w:t>
            </w:r>
          </w:p>
        </w:tc>
      </w:tr>
      <w:tr w:rsidR="00AA0403" w:rsidRPr="00864C4F" w14:paraId="5715821F" w14:textId="77777777" w:rsidTr="009201D8">
        <w:trPr>
          <w:trHeight w:val="290"/>
        </w:trPr>
        <w:tc>
          <w:tcPr>
            <w:cnfStyle w:val="001000000000" w:firstRow="0" w:lastRow="0" w:firstColumn="1" w:lastColumn="0" w:oddVBand="0" w:evenVBand="0" w:oddHBand="0" w:evenHBand="0" w:firstRowFirstColumn="0" w:firstRowLastColumn="0" w:lastRowFirstColumn="0" w:lastRowLastColumn="0"/>
            <w:tcW w:w="2972" w:type="dxa"/>
            <w:noWrap/>
            <w:hideMark/>
          </w:tcPr>
          <w:p w14:paraId="2A996CF4" w14:textId="77777777" w:rsidR="00AA0403" w:rsidRPr="00FE1F56" w:rsidRDefault="00AA0403" w:rsidP="005E2449">
            <w:pPr>
              <w:widowControl/>
              <w:jc w:val="center"/>
              <w:rPr>
                <w:rFonts w:eastAsia="Yu Gothic UI Light" w:cs="Calibri"/>
                <w:kern w:val="0"/>
                <w:sz w:val="18"/>
                <w:szCs w:val="18"/>
                <w14:ligatures w14:val="none"/>
              </w:rPr>
            </w:pPr>
            <w:r w:rsidRPr="00FE1F56">
              <w:rPr>
                <w:rFonts w:eastAsia="Yu Gothic UI Light" w:cs="Calibri"/>
                <w:kern w:val="0"/>
                <w:sz w:val="18"/>
                <w:szCs w:val="18"/>
                <w14:ligatures w14:val="none"/>
              </w:rPr>
              <w:t xml:space="preserve">Total </w:t>
            </w:r>
            <w:proofErr w:type="spellStart"/>
            <w:r w:rsidRPr="00FE1F56">
              <w:rPr>
                <w:rFonts w:eastAsia="Yu Gothic UI Light" w:cs="Calibri"/>
                <w:kern w:val="0"/>
                <w:sz w:val="18"/>
                <w:szCs w:val="18"/>
                <w14:ligatures w14:val="none"/>
              </w:rPr>
              <w:t>generalised</w:t>
            </w:r>
            <w:proofErr w:type="spellEnd"/>
            <w:r w:rsidRPr="00FE1F56">
              <w:rPr>
                <w:rFonts w:eastAsia="Yu Gothic UI Light" w:cs="Calibri"/>
                <w:kern w:val="0"/>
                <w:sz w:val="18"/>
                <w:szCs w:val="18"/>
                <w14:ligatures w14:val="none"/>
              </w:rPr>
              <w:t xml:space="preserve"> chain cost</w:t>
            </w:r>
          </w:p>
        </w:tc>
        <w:tc>
          <w:tcPr>
            <w:tcW w:w="1559" w:type="dxa"/>
            <w:noWrap/>
            <w:hideMark/>
          </w:tcPr>
          <w:p w14:paraId="5AF5940C" w14:textId="77777777" w:rsidR="00AA0403" w:rsidRPr="00FE1F56"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2595.43824</w:t>
            </w:r>
          </w:p>
        </w:tc>
        <w:tc>
          <w:tcPr>
            <w:tcW w:w="1560" w:type="dxa"/>
          </w:tcPr>
          <w:p w14:paraId="1A3D6E2C" w14:textId="3D2AE073" w:rsidR="00AA0403" w:rsidRPr="00864C4F"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color w:val="000000"/>
                <w:sz w:val="18"/>
                <w:szCs w:val="18"/>
              </w:rPr>
              <w:t>3137.97837</w:t>
            </w:r>
          </w:p>
        </w:tc>
        <w:tc>
          <w:tcPr>
            <w:tcW w:w="1560" w:type="dxa"/>
          </w:tcPr>
          <w:p w14:paraId="41B85158" w14:textId="7FD91FEE" w:rsidR="00AA0403" w:rsidRPr="00864C4F" w:rsidRDefault="00AA0403" w:rsidP="005E2449">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color w:val="000000"/>
                <w:sz w:val="18"/>
                <w:szCs w:val="18"/>
              </w:rPr>
              <w:t>0.209036038</w:t>
            </w:r>
          </w:p>
        </w:tc>
      </w:tr>
    </w:tbl>
    <w:p w14:paraId="6DE69F69" w14:textId="24964592" w:rsidR="00CB5E55" w:rsidRPr="00864C4F" w:rsidRDefault="00CB5E55" w:rsidP="00CB5E55">
      <w:pPr>
        <w:rPr>
          <w:rFonts w:cs="Calibri"/>
        </w:rPr>
      </w:pPr>
    </w:p>
    <w:p w14:paraId="615828FD" w14:textId="77777777" w:rsidR="00E87A4F" w:rsidRPr="00864C4F" w:rsidRDefault="00E87A4F" w:rsidP="00E87A4F">
      <w:pPr>
        <w:jc w:val="center"/>
        <w:rPr>
          <w:rFonts w:cs="Calibri"/>
          <w:sz w:val="22"/>
          <w:szCs w:val="22"/>
        </w:rPr>
      </w:pPr>
      <w:r w:rsidRPr="00864C4F">
        <w:rPr>
          <w:rFonts w:cs="Calibri"/>
          <w:sz w:val="22"/>
          <w:szCs w:val="22"/>
        </w:rPr>
        <w:t>Comparison of Vessel Cost: With vs Without LNG</w:t>
      </w:r>
    </w:p>
    <w:tbl>
      <w:tblPr>
        <w:tblStyle w:val="GridTable5Dark-Accent1"/>
        <w:tblW w:w="8500" w:type="dxa"/>
        <w:tblLayout w:type="fixed"/>
        <w:tblLook w:val="04A0" w:firstRow="1" w:lastRow="0" w:firstColumn="1" w:lastColumn="0" w:noHBand="0" w:noVBand="1"/>
      </w:tblPr>
      <w:tblGrid>
        <w:gridCol w:w="2830"/>
        <w:gridCol w:w="1276"/>
        <w:gridCol w:w="1134"/>
        <w:gridCol w:w="1134"/>
        <w:gridCol w:w="992"/>
        <w:gridCol w:w="1134"/>
      </w:tblGrid>
      <w:tr w:rsidR="00E87A4F" w:rsidRPr="00864C4F" w14:paraId="77904E43" w14:textId="77777777" w:rsidTr="0047768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vMerge w:val="restart"/>
            <w:noWrap/>
            <w:vAlign w:val="center"/>
          </w:tcPr>
          <w:p w14:paraId="0E294F93" w14:textId="77777777" w:rsidR="00E87A4F" w:rsidRPr="00864C4F" w:rsidRDefault="00E87A4F" w:rsidP="00477688">
            <w:pPr>
              <w:widowControl/>
              <w:jc w:val="center"/>
              <w:rPr>
                <w:rFonts w:eastAsia="新細明體" w:cs="Calibri"/>
                <w:kern w:val="0"/>
                <w:sz w:val="18"/>
                <w:szCs w:val="18"/>
                <w14:ligatures w14:val="none"/>
              </w:rPr>
            </w:pPr>
            <w:r w:rsidRPr="00864C4F">
              <w:rPr>
                <w:rFonts w:eastAsia="新細明體" w:cs="Calibri"/>
                <w:kern w:val="0"/>
                <w:sz w:val="18"/>
                <w:szCs w:val="18"/>
                <w14:ligatures w14:val="none"/>
              </w:rPr>
              <w:t>Vessel Cost Component</w:t>
            </w:r>
          </w:p>
        </w:tc>
        <w:tc>
          <w:tcPr>
            <w:tcW w:w="2410" w:type="dxa"/>
            <w:gridSpan w:val="2"/>
            <w:noWrap/>
            <w:vAlign w:val="center"/>
          </w:tcPr>
          <w:p w14:paraId="61DE6FD3"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Regular Fuel</w:t>
            </w:r>
          </w:p>
        </w:tc>
        <w:tc>
          <w:tcPr>
            <w:tcW w:w="2126" w:type="dxa"/>
            <w:gridSpan w:val="2"/>
            <w:vAlign w:val="center"/>
          </w:tcPr>
          <w:p w14:paraId="2D74DF0D"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Scrubber or LNG</w:t>
            </w:r>
          </w:p>
        </w:tc>
        <w:tc>
          <w:tcPr>
            <w:tcW w:w="1134" w:type="dxa"/>
            <w:vAlign w:val="center"/>
          </w:tcPr>
          <w:p w14:paraId="779DB0B0"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Change</w:t>
            </w:r>
          </w:p>
        </w:tc>
      </w:tr>
      <w:tr w:rsidR="00E87A4F" w:rsidRPr="00864C4F" w14:paraId="0E845A07"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vMerge/>
            <w:noWrap/>
            <w:vAlign w:val="center"/>
            <w:hideMark/>
          </w:tcPr>
          <w:p w14:paraId="76176A21" w14:textId="77777777" w:rsidR="00E87A4F" w:rsidRPr="002E6C29" w:rsidRDefault="00E87A4F" w:rsidP="00477688">
            <w:pPr>
              <w:widowControl/>
              <w:jc w:val="center"/>
              <w:rPr>
                <w:rFonts w:eastAsia="新細明體" w:cs="Calibri"/>
                <w:kern w:val="0"/>
                <w:sz w:val="18"/>
                <w:szCs w:val="18"/>
                <w14:ligatures w14:val="none"/>
              </w:rPr>
            </w:pPr>
          </w:p>
        </w:tc>
        <w:tc>
          <w:tcPr>
            <w:tcW w:w="1276" w:type="dxa"/>
            <w:noWrap/>
            <w:vAlign w:val="center"/>
            <w:hideMark/>
          </w:tcPr>
          <w:p w14:paraId="7B4F75B0"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Total cost</w:t>
            </w:r>
          </w:p>
          <w:p w14:paraId="3262CAF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per leg</w:t>
            </w:r>
          </w:p>
        </w:tc>
        <w:tc>
          <w:tcPr>
            <w:tcW w:w="1134" w:type="dxa"/>
            <w:vAlign w:val="center"/>
          </w:tcPr>
          <w:p w14:paraId="13111A1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eastAsia="新細明體" w:cs="Calibri"/>
                <w:color w:val="000000"/>
                <w:kern w:val="0"/>
                <w:sz w:val="18"/>
                <w:szCs w:val="18"/>
                <w14:ligatures w14:val="none"/>
              </w:rPr>
              <w:t>Cost/ TEU</w:t>
            </w:r>
          </w:p>
        </w:tc>
        <w:tc>
          <w:tcPr>
            <w:tcW w:w="1134" w:type="dxa"/>
            <w:vAlign w:val="center"/>
          </w:tcPr>
          <w:p w14:paraId="1223566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Total cost</w:t>
            </w:r>
          </w:p>
          <w:p w14:paraId="70B56F2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per leg</w:t>
            </w:r>
          </w:p>
        </w:tc>
        <w:tc>
          <w:tcPr>
            <w:tcW w:w="992" w:type="dxa"/>
            <w:vAlign w:val="center"/>
          </w:tcPr>
          <w:p w14:paraId="7B76E41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eastAsia="新細明體" w:cs="Calibri"/>
                <w:color w:val="000000"/>
                <w:kern w:val="0"/>
                <w:sz w:val="18"/>
                <w:szCs w:val="18"/>
                <w14:ligatures w14:val="none"/>
              </w:rPr>
              <w:t>Cost/ TEU</w:t>
            </w:r>
          </w:p>
        </w:tc>
        <w:tc>
          <w:tcPr>
            <w:tcW w:w="1134" w:type="dxa"/>
            <w:vAlign w:val="center"/>
          </w:tcPr>
          <w:p w14:paraId="1B184E6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p>
        </w:tc>
      </w:tr>
      <w:tr w:rsidR="00E87A4F" w:rsidRPr="00864C4F" w14:paraId="3E6276DF"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067E7026"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kern w:val="0"/>
                <w:sz w:val="18"/>
                <w:szCs w:val="18"/>
                <w14:ligatures w14:val="none"/>
              </w:rPr>
              <w:t>Running cost ship</w:t>
            </w:r>
          </w:p>
        </w:tc>
        <w:tc>
          <w:tcPr>
            <w:tcW w:w="1276" w:type="dxa"/>
            <w:noWrap/>
            <w:vAlign w:val="center"/>
            <w:hideMark/>
          </w:tcPr>
          <w:p w14:paraId="3BA11EB9"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480936.36</w:t>
            </w:r>
          </w:p>
        </w:tc>
        <w:tc>
          <w:tcPr>
            <w:tcW w:w="1134" w:type="dxa"/>
            <w:vAlign w:val="center"/>
          </w:tcPr>
          <w:p w14:paraId="2F246C8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20.069</w:t>
            </w:r>
          </w:p>
        </w:tc>
        <w:tc>
          <w:tcPr>
            <w:tcW w:w="1134" w:type="dxa"/>
            <w:vAlign w:val="center"/>
          </w:tcPr>
          <w:p w14:paraId="236488A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480936.36</w:t>
            </w:r>
          </w:p>
        </w:tc>
        <w:tc>
          <w:tcPr>
            <w:tcW w:w="992" w:type="dxa"/>
            <w:vAlign w:val="center"/>
          </w:tcPr>
          <w:p w14:paraId="62DA5F8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20.069</w:t>
            </w:r>
          </w:p>
        </w:tc>
        <w:tc>
          <w:tcPr>
            <w:tcW w:w="1134" w:type="dxa"/>
            <w:vAlign w:val="center"/>
          </w:tcPr>
          <w:p w14:paraId="6E90A6F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1AFC89F9"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62772FBD"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Manning cost ship</w:t>
            </w:r>
          </w:p>
        </w:tc>
        <w:tc>
          <w:tcPr>
            <w:tcW w:w="1276" w:type="dxa"/>
            <w:shd w:val="clear" w:color="auto" w:fill="FFFFFF" w:themeFill="background1"/>
            <w:noWrap/>
            <w:vAlign w:val="center"/>
            <w:hideMark/>
          </w:tcPr>
          <w:p w14:paraId="116F40A0"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207612.09</w:t>
            </w:r>
          </w:p>
        </w:tc>
        <w:tc>
          <w:tcPr>
            <w:tcW w:w="1134" w:type="dxa"/>
            <w:shd w:val="clear" w:color="auto" w:fill="FFFFFF" w:themeFill="background1"/>
            <w:vAlign w:val="center"/>
          </w:tcPr>
          <w:p w14:paraId="740F013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8.663</w:t>
            </w:r>
          </w:p>
        </w:tc>
        <w:tc>
          <w:tcPr>
            <w:tcW w:w="1134" w:type="dxa"/>
            <w:shd w:val="clear" w:color="auto" w:fill="FFFFFF" w:themeFill="background1"/>
            <w:vAlign w:val="center"/>
          </w:tcPr>
          <w:p w14:paraId="7EAF1CB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207612.09</w:t>
            </w:r>
          </w:p>
        </w:tc>
        <w:tc>
          <w:tcPr>
            <w:tcW w:w="992" w:type="dxa"/>
            <w:shd w:val="clear" w:color="auto" w:fill="FFFFFF" w:themeFill="background1"/>
            <w:vAlign w:val="center"/>
          </w:tcPr>
          <w:p w14:paraId="1EEE2C2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8.663</w:t>
            </w:r>
          </w:p>
        </w:tc>
        <w:tc>
          <w:tcPr>
            <w:tcW w:w="1134" w:type="dxa"/>
            <w:shd w:val="clear" w:color="auto" w:fill="FFFFFF" w:themeFill="background1"/>
            <w:vAlign w:val="center"/>
          </w:tcPr>
          <w:p w14:paraId="322044C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26A27767"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6545E7F3"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Store cost</w:t>
            </w:r>
          </w:p>
        </w:tc>
        <w:tc>
          <w:tcPr>
            <w:tcW w:w="1276" w:type="dxa"/>
            <w:shd w:val="clear" w:color="auto" w:fill="FFFFFF" w:themeFill="background1"/>
            <w:noWrap/>
            <w:vAlign w:val="center"/>
            <w:hideMark/>
          </w:tcPr>
          <w:p w14:paraId="45E054F5"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8306.57</w:t>
            </w:r>
          </w:p>
        </w:tc>
        <w:tc>
          <w:tcPr>
            <w:tcW w:w="1134" w:type="dxa"/>
            <w:shd w:val="clear" w:color="auto" w:fill="FFFFFF" w:themeFill="background1"/>
            <w:vAlign w:val="center"/>
          </w:tcPr>
          <w:p w14:paraId="4A28024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0.347</w:t>
            </w:r>
          </w:p>
        </w:tc>
        <w:tc>
          <w:tcPr>
            <w:tcW w:w="1134" w:type="dxa"/>
            <w:shd w:val="clear" w:color="auto" w:fill="FFFFFF" w:themeFill="background1"/>
            <w:vAlign w:val="center"/>
          </w:tcPr>
          <w:p w14:paraId="7BEB943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8306.57</w:t>
            </w:r>
          </w:p>
        </w:tc>
        <w:tc>
          <w:tcPr>
            <w:tcW w:w="992" w:type="dxa"/>
            <w:shd w:val="clear" w:color="auto" w:fill="FFFFFF" w:themeFill="background1"/>
            <w:vAlign w:val="center"/>
          </w:tcPr>
          <w:p w14:paraId="17A1CD9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0.347</w:t>
            </w:r>
          </w:p>
        </w:tc>
        <w:tc>
          <w:tcPr>
            <w:tcW w:w="1134" w:type="dxa"/>
            <w:shd w:val="clear" w:color="auto" w:fill="FFFFFF" w:themeFill="background1"/>
            <w:vAlign w:val="center"/>
          </w:tcPr>
          <w:p w14:paraId="3558B19C"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5F6F5D8E"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41CB7A11"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Insurance cost</w:t>
            </w:r>
          </w:p>
        </w:tc>
        <w:tc>
          <w:tcPr>
            <w:tcW w:w="1276" w:type="dxa"/>
            <w:shd w:val="clear" w:color="auto" w:fill="FFFFFF" w:themeFill="background1"/>
            <w:noWrap/>
            <w:vAlign w:val="center"/>
            <w:hideMark/>
          </w:tcPr>
          <w:p w14:paraId="3616BB3D"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217422.36</w:t>
            </w:r>
          </w:p>
        </w:tc>
        <w:tc>
          <w:tcPr>
            <w:tcW w:w="1134" w:type="dxa"/>
            <w:shd w:val="clear" w:color="auto" w:fill="FFFFFF" w:themeFill="background1"/>
            <w:vAlign w:val="center"/>
          </w:tcPr>
          <w:p w14:paraId="2119DD9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9.073</w:t>
            </w:r>
          </w:p>
        </w:tc>
        <w:tc>
          <w:tcPr>
            <w:tcW w:w="1134" w:type="dxa"/>
            <w:shd w:val="clear" w:color="auto" w:fill="FFFFFF" w:themeFill="background1"/>
            <w:vAlign w:val="center"/>
          </w:tcPr>
          <w:p w14:paraId="7855C54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217422.36</w:t>
            </w:r>
          </w:p>
        </w:tc>
        <w:tc>
          <w:tcPr>
            <w:tcW w:w="992" w:type="dxa"/>
            <w:shd w:val="clear" w:color="auto" w:fill="FFFFFF" w:themeFill="background1"/>
            <w:vAlign w:val="center"/>
          </w:tcPr>
          <w:p w14:paraId="0D7F6C6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9.073</w:t>
            </w:r>
          </w:p>
        </w:tc>
        <w:tc>
          <w:tcPr>
            <w:tcW w:w="1134" w:type="dxa"/>
            <w:shd w:val="clear" w:color="auto" w:fill="FFFFFF" w:themeFill="background1"/>
            <w:vAlign w:val="center"/>
          </w:tcPr>
          <w:p w14:paraId="6C6E52E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343C8B1A"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4E64F151"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 xml:space="preserve">Repair and </w:t>
            </w:r>
            <w:proofErr w:type="spellStart"/>
            <w:r w:rsidRPr="002E6C29">
              <w:rPr>
                <w:rFonts w:eastAsia="新細明體" w:cs="Calibri"/>
                <w:color w:val="000000"/>
                <w:kern w:val="0"/>
                <w:sz w:val="18"/>
                <w:szCs w:val="18"/>
                <w14:ligatures w14:val="none"/>
              </w:rPr>
              <w:t>Maintainance</w:t>
            </w:r>
            <w:proofErr w:type="spellEnd"/>
            <w:r w:rsidRPr="002E6C29">
              <w:rPr>
                <w:rFonts w:eastAsia="新細明體" w:cs="Calibri"/>
                <w:color w:val="000000"/>
                <w:kern w:val="0"/>
                <w:sz w:val="18"/>
                <w:szCs w:val="18"/>
                <w14:ligatures w14:val="none"/>
              </w:rPr>
              <w:t xml:space="preserve"> cost</w:t>
            </w:r>
          </w:p>
        </w:tc>
        <w:tc>
          <w:tcPr>
            <w:tcW w:w="1276" w:type="dxa"/>
            <w:shd w:val="clear" w:color="auto" w:fill="FFFFFF" w:themeFill="background1"/>
            <w:noWrap/>
            <w:vAlign w:val="center"/>
            <w:hideMark/>
          </w:tcPr>
          <w:p w14:paraId="118A9D60"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18890.76</w:t>
            </w:r>
          </w:p>
        </w:tc>
        <w:tc>
          <w:tcPr>
            <w:tcW w:w="1134" w:type="dxa"/>
            <w:shd w:val="clear" w:color="auto" w:fill="FFFFFF" w:themeFill="background1"/>
            <w:vAlign w:val="center"/>
          </w:tcPr>
          <w:p w14:paraId="0DC4236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0.788</w:t>
            </w:r>
          </w:p>
        </w:tc>
        <w:tc>
          <w:tcPr>
            <w:tcW w:w="1134" w:type="dxa"/>
            <w:shd w:val="clear" w:color="auto" w:fill="FFFFFF" w:themeFill="background1"/>
            <w:vAlign w:val="center"/>
          </w:tcPr>
          <w:p w14:paraId="388ECA6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18890.76</w:t>
            </w:r>
          </w:p>
        </w:tc>
        <w:tc>
          <w:tcPr>
            <w:tcW w:w="992" w:type="dxa"/>
            <w:shd w:val="clear" w:color="auto" w:fill="FFFFFF" w:themeFill="background1"/>
            <w:vAlign w:val="center"/>
          </w:tcPr>
          <w:p w14:paraId="58F6F2A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0.788</w:t>
            </w:r>
          </w:p>
        </w:tc>
        <w:tc>
          <w:tcPr>
            <w:tcW w:w="1134" w:type="dxa"/>
            <w:shd w:val="clear" w:color="auto" w:fill="FFFFFF" w:themeFill="background1"/>
            <w:vAlign w:val="center"/>
          </w:tcPr>
          <w:p w14:paraId="14C7134F"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76C885D8"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11B13047"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Management cost</w:t>
            </w:r>
          </w:p>
        </w:tc>
        <w:tc>
          <w:tcPr>
            <w:tcW w:w="1276" w:type="dxa"/>
            <w:shd w:val="clear" w:color="auto" w:fill="FFFFFF" w:themeFill="background1"/>
            <w:noWrap/>
            <w:vAlign w:val="center"/>
            <w:hideMark/>
          </w:tcPr>
          <w:p w14:paraId="5595C060"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28704.57</w:t>
            </w:r>
          </w:p>
        </w:tc>
        <w:tc>
          <w:tcPr>
            <w:tcW w:w="1134" w:type="dxa"/>
            <w:shd w:val="clear" w:color="auto" w:fill="FFFFFF" w:themeFill="background1"/>
            <w:vAlign w:val="center"/>
          </w:tcPr>
          <w:p w14:paraId="6D01FFA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1.198</w:t>
            </w:r>
          </w:p>
        </w:tc>
        <w:tc>
          <w:tcPr>
            <w:tcW w:w="1134" w:type="dxa"/>
            <w:shd w:val="clear" w:color="auto" w:fill="FFFFFF" w:themeFill="background1"/>
            <w:vAlign w:val="center"/>
          </w:tcPr>
          <w:p w14:paraId="00B8E51D"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28704.57</w:t>
            </w:r>
          </w:p>
        </w:tc>
        <w:tc>
          <w:tcPr>
            <w:tcW w:w="992" w:type="dxa"/>
            <w:shd w:val="clear" w:color="auto" w:fill="FFFFFF" w:themeFill="background1"/>
            <w:vAlign w:val="center"/>
          </w:tcPr>
          <w:p w14:paraId="503A355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1.198</w:t>
            </w:r>
          </w:p>
        </w:tc>
        <w:tc>
          <w:tcPr>
            <w:tcW w:w="1134" w:type="dxa"/>
            <w:shd w:val="clear" w:color="auto" w:fill="FFFFFF" w:themeFill="background1"/>
            <w:vAlign w:val="center"/>
          </w:tcPr>
          <w:p w14:paraId="641E3AF4"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565A0ACA"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05C39C32"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kern w:val="0"/>
                <w:sz w:val="18"/>
                <w:szCs w:val="18"/>
                <w14:ligatures w14:val="none"/>
              </w:rPr>
              <w:t>Voyage cost ship</w:t>
            </w:r>
          </w:p>
        </w:tc>
        <w:tc>
          <w:tcPr>
            <w:tcW w:w="1276" w:type="dxa"/>
            <w:noWrap/>
            <w:vAlign w:val="center"/>
            <w:hideMark/>
          </w:tcPr>
          <w:p w14:paraId="3C4BCCDB"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7626546.21</w:t>
            </w:r>
          </w:p>
        </w:tc>
        <w:tc>
          <w:tcPr>
            <w:tcW w:w="1134" w:type="dxa"/>
            <w:vAlign w:val="center"/>
          </w:tcPr>
          <w:p w14:paraId="42FECB3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318.250</w:t>
            </w:r>
          </w:p>
        </w:tc>
        <w:tc>
          <w:tcPr>
            <w:tcW w:w="1134" w:type="dxa"/>
            <w:vAlign w:val="center"/>
          </w:tcPr>
          <w:p w14:paraId="43C6FF2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28830499.3</w:t>
            </w:r>
          </w:p>
        </w:tc>
        <w:tc>
          <w:tcPr>
            <w:tcW w:w="992" w:type="dxa"/>
            <w:vAlign w:val="center"/>
          </w:tcPr>
          <w:p w14:paraId="4436826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1203.075</w:t>
            </w:r>
          </w:p>
        </w:tc>
        <w:tc>
          <w:tcPr>
            <w:tcW w:w="1134" w:type="dxa"/>
            <w:vAlign w:val="center"/>
          </w:tcPr>
          <w:p w14:paraId="7A34CAE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2.781</w:t>
            </w:r>
          </w:p>
        </w:tc>
      </w:tr>
      <w:tr w:rsidR="00E87A4F" w:rsidRPr="00864C4F" w14:paraId="69DD4A95"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575CCAD0"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Fuel cost ship in Port</w:t>
            </w:r>
          </w:p>
        </w:tc>
        <w:tc>
          <w:tcPr>
            <w:tcW w:w="1276" w:type="dxa"/>
            <w:shd w:val="clear" w:color="auto" w:fill="FFFFFF" w:themeFill="background1"/>
            <w:noWrap/>
            <w:vAlign w:val="center"/>
            <w:hideMark/>
          </w:tcPr>
          <w:p w14:paraId="1DDD68D4"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202937.41</w:t>
            </w:r>
          </w:p>
        </w:tc>
        <w:tc>
          <w:tcPr>
            <w:tcW w:w="1134" w:type="dxa"/>
            <w:shd w:val="clear" w:color="auto" w:fill="FFFFFF" w:themeFill="background1"/>
            <w:vAlign w:val="center"/>
          </w:tcPr>
          <w:p w14:paraId="520B49A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8.468</w:t>
            </w:r>
          </w:p>
        </w:tc>
        <w:tc>
          <w:tcPr>
            <w:tcW w:w="1134" w:type="dxa"/>
            <w:shd w:val="clear" w:color="auto" w:fill="FFFFFF" w:themeFill="background1"/>
            <w:vAlign w:val="center"/>
          </w:tcPr>
          <w:p w14:paraId="1614A3A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217162.47</w:t>
            </w:r>
          </w:p>
        </w:tc>
        <w:tc>
          <w:tcPr>
            <w:tcW w:w="992" w:type="dxa"/>
            <w:shd w:val="clear" w:color="auto" w:fill="FFFFFF" w:themeFill="background1"/>
            <w:vAlign w:val="center"/>
          </w:tcPr>
          <w:p w14:paraId="30D7AC7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9.062</w:t>
            </w:r>
          </w:p>
        </w:tc>
        <w:tc>
          <w:tcPr>
            <w:tcW w:w="1134" w:type="dxa"/>
            <w:shd w:val="clear" w:color="auto" w:fill="FFFFFF" w:themeFill="background1"/>
            <w:vAlign w:val="center"/>
          </w:tcPr>
          <w:p w14:paraId="5D0026C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0.070</w:t>
            </w:r>
          </w:p>
        </w:tc>
      </w:tr>
      <w:tr w:rsidR="00E87A4F" w:rsidRPr="00864C4F" w14:paraId="4A0FE045"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6983143D"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Fuel cost ship ECA</w:t>
            </w:r>
          </w:p>
        </w:tc>
        <w:tc>
          <w:tcPr>
            <w:tcW w:w="1276" w:type="dxa"/>
            <w:shd w:val="clear" w:color="auto" w:fill="FFFFFF" w:themeFill="background1"/>
            <w:noWrap/>
            <w:vAlign w:val="center"/>
            <w:hideMark/>
          </w:tcPr>
          <w:p w14:paraId="64AC4764"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473412.93</w:t>
            </w:r>
          </w:p>
        </w:tc>
        <w:tc>
          <w:tcPr>
            <w:tcW w:w="1134" w:type="dxa"/>
            <w:shd w:val="clear" w:color="auto" w:fill="FFFFFF" w:themeFill="background1"/>
            <w:vAlign w:val="center"/>
          </w:tcPr>
          <w:p w14:paraId="403BC25C"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19.755</w:t>
            </w:r>
          </w:p>
        </w:tc>
        <w:tc>
          <w:tcPr>
            <w:tcW w:w="1134" w:type="dxa"/>
            <w:shd w:val="clear" w:color="auto" w:fill="FFFFFF" w:themeFill="background1"/>
            <w:vAlign w:val="center"/>
          </w:tcPr>
          <w:p w14:paraId="4F9C270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1728733.28</w:t>
            </w:r>
          </w:p>
        </w:tc>
        <w:tc>
          <w:tcPr>
            <w:tcW w:w="992" w:type="dxa"/>
            <w:shd w:val="clear" w:color="auto" w:fill="FFFFFF" w:themeFill="background1"/>
            <w:vAlign w:val="center"/>
          </w:tcPr>
          <w:p w14:paraId="3491143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72.139</w:t>
            </w:r>
          </w:p>
        </w:tc>
        <w:tc>
          <w:tcPr>
            <w:tcW w:w="1134" w:type="dxa"/>
            <w:shd w:val="clear" w:color="auto" w:fill="FFFFFF" w:themeFill="background1"/>
            <w:vAlign w:val="center"/>
          </w:tcPr>
          <w:p w14:paraId="3CC0C344"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2.652</w:t>
            </w:r>
          </w:p>
        </w:tc>
      </w:tr>
      <w:tr w:rsidR="00E87A4F" w:rsidRPr="00864C4F" w14:paraId="604D171D"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5E1B855D"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Fuel cost ship Non ECA</w:t>
            </w:r>
          </w:p>
        </w:tc>
        <w:tc>
          <w:tcPr>
            <w:tcW w:w="1276" w:type="dxa"/>
            <w:shd w:val="clear" w:color="auto" w:fill="FFFFFF" w:themeFill="background1"/>
            <w:noWrap/>
            <w:vAlign w:val="center"/>
            <w:hideMark/>
          </w:tcPr>
          <w:p w14:paraId="60D839DE"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4454960.32</w:t>
            </w:r>
          </w:p>
        </w:tc>
        <w:tc>
          <w:tcPr>
            <w:tcW w:w="1134" w:type="dxa"/>
            <w:shd w:val="clear" w:color="auto" w:fill="FFFFFF" w:themeFill="background1"/>
            <w:vAlign w:val="center"/>
          </w:tcPr>
          <w:p w14:paraId="6230E7D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185.902</w:t>
            </w:r>
          </w:p>
        </w:tc>
        <w:tc>
          <w:tcPr>
            <w:tcW w:w="1134" w:type="dxa"/>
            <w:shd w:val="clear" w:color="auto" w:fill="FFFFFF" w:themeFill="background1"/>
            <w:vAlign w:val="center"/>
          </w:tcPr>
          <w:p w14:paraId="093C10E9"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24389368.</w:t>
            </w:r>
          </w:p>
        </w:tc>
        <w:tc>
          <w:tcPr>
            <w:tcW w:w="992" w:type="dxa"/>
            <w:shd w:val="clear" w:color="auto" w:fill="FFFFFF" w:themeFill="background1"/>
            <w:vAlign w:val="center"/>
          </w:tcPr>
          <w:p w14:paraId="6061654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1017.750</w:t>
            </w:r>
          </w:p>
        </w:tc>
        <w:tc>
          <w:tcPr>
            <w:tcW w:w="1134" w:type="dxa"/>
            <w:shd w:val="clear" w:color="auto" w:fill="FFFFFF" w:themeFill="background1"/>
            <w:vAlign w:val="center"/>
          </w:tcPr>
          <w:p w14:paraId="13773C3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4.475</w:t>
            </w:r>
          </w:p>
        </w:tc>
      </w:tr>
      <w:tr w:rsidR="00E87A4F" w:rsidRPr="00864C4F" w14:paraId="37A18B7A"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087CA248" w14:textId="77777777" w:rsidR="00E87A4F" w:rsidRPr="002E6C29" w:rsidRDefault="00E87A4F" w:rsidP="00477688">
            <w:pPr>
              <w:widowControl/>
              <w:jc w:val="center"/>
              <w:rPr>
                <w:rFonts w:eastAsia="新細明體" w:cs="Calibri"/>
                <w:color w:val="000000"/>
                <w:kern w:val="0"/>
                <w:sz w:val="18"/>
                <w:szCs w:val="18"/>
                <w14:ligatures w14:val="none"/>
              </w:rPr>
            </w:pPr>
            <w:proofErr w:type="spellStart"/>
            <w:r w:rsidRPr="002E6C29">
              <w:rPr>
                <w:rFonts w:eastAsia="新細明體" w:cs="Calibri"/>
                <w:color w:val="000000"/>
                <w:kern w:val="0"/>
                <w:sz w:val="18"/>
                <w:szCs w:val="18"/>
                <w14:ligatures w14:val="none"/>
              </w:rPr>
              <w:t>Lub</w:t>
            </w:r>
            <w:proofErr w:type="spellEnd"/>
            <w:r w:rsidRPr="002E6C29">
              <w:rPr>
                <w:rFonts w:eastAsia="新細明體" w:cs="Calibri"/>
                <w:color w:val="000000"/>
                <w:kern w:val="0"/>
                <w:sz w:val="18"/>
                <w:szCs w:val="18"/>
                <w14:ligatures w14:val="none"/>
              </w:rPr>
              <w:t xml:space="preserve"> oil cost ship</w:t>
            </w:r>
          </w:p>
        </w:tc>
        <w:tc>
          <w:tcPr>
            <w:tcW w:w="1276" w:type="dxa"/>
            <w:shd w:val="clear" w:color="auto" w:fill="FFFFFF" w:themeFill="background1"/>
            <w:noWrap/>
            <w:vAlign w:val="center"/>
            <w:hideMark/>
          </w:tcPr>
          <w:p w14:paraId="306A6977"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27717.86</w:t>
            </w:r>
          </w:p>
        </w:tc>
        <w:tc>
          <w:tcPr>
            <w:tcW w:w="1134" w:type="dxa"/>
            <w:shd w:val="clear" w:color="auto" w:fill="FFFFFF" w:themeFill="background1"/>
            <w:vAlign w:val="center"/>
          </w:tcPr>
          <w:p w14:paraId="7D5CD4B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1.157</w:t>
            </w:r>
          </w:p>
        </w:tc>
        <w:tc>
          <w:tcPr>
            <w:tcW w:w="1134" w:type="dxa"/>
            <w:shd w:val="clear" w:color="auto" w:fill="FFFFFF" w:themeFill="background1"/>
            <w:vAlign w:val="center"/>
          </w:tcPr>
          <w:p w14:paraId="6D5A670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27717.86</w:t>
            </w:r>
          </w:p>
        </w:tc>
        <w:tc>
          <w:tcPr>
            <w:tcW w:w="992" w:type="dxa"/>
            <w:shd w:val="clear" w:color="auto" w:fill="FFFFFF" w:themeFill="background1"/>
            <w:vAlign w:val="center"/>
          </w:tcPr>
          <w:p w14:paraId="4030121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1.157</w:t>
            </w:r>
          </w:p>
        </w:tc>
        <w:tc>
          <w:tcPr>
            <w:tcW w:w="1134" w:type="dxa"/>
            <w:shd w:val="clear" w:color="auto" w:fill="FFFFFF" w:themeFill="background1"/>
            <w:vAlign w:val="center"/>
          </w:tcPr>
          <w:p w14:paraId="0F3321BA"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54E87E14"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4B7095EB"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Cannel cost ship</w:t>
            </w:r>
          </w:p>
        </w:tc>
        <w:tc>
          <w:tcPr>
            <w:tcW w:w="1276" w:type="dxa"/>
            <w:shd w:val="clear" w:color="auto" w:fill="FFFFFF" w:themeFill="background1"/>
            <w:noWrap/>
            <w:vAlign w:val="center"/>
            <w:hideMark/>
          </w:tcPr>
          <w:p w14:paraId="393446F7"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2053900.37</w:t>
            </w:r>
          </w:p>
        </w:tc>
        <w:tc>
          <w:tcPr>
            <w:tcW w:w="1134" w:type="dxa"/>
            <w:shd w:val="clear" w:color="auto" w:fill="FFFFFF" w:themeFill="background1"/>
            <w:vAlign w:val="center"/>
          </w:tcPr>
          <w:p w14:paraId="25934F78"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85.708</w:t>
            </w:r>
          </w:p>
        </w:tc>
        <w:tc>
          <w:tcPr>
            <w:tcW w:w="1134" w:type="dxa"/>
            <w:shd w:val="clear" w:color="auto" w:fill="FFFFFF" w:themeFill="background1"/>
            <w:vAlign w:val="center"/>
          </w:tcPr>
          <w:p w14:paraId="1F5C6AFD"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2053900.37</w:t>
            </w:r>
          </w:p>
        </w:tc>
        <w:tc>
          <w:tcPr>
            <w:tcW w:w="992" w:type="dxa"/>
            <w:shd w:val="clear" w:color="auto" w:fill="FFFFFF" w:themeFill="background1"/>
            <w:vAlign w:val="center"/>
          </w:tcPr>
          <w:p w14:paraId="37812ED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85.708</w:t>
            </w:r>
          </w:p>
        </w:tc>
        <w:tc>
          <w:tcPr>
            <w:tcW w:w="1134" w:type="dxa"/>
            <w:shd w:val="clear" w:color="auto" w:fill="FFFFFF" w:themeFill="background1"/>
            <w:vAlign w:val="center"/>
          </w:tcPr>
          <w:p w14:paraId="71EE0FF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448368D8"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7639BA60"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ETS cost ship</w:t>
            </w:r>
          </w:p>
        </w:tc>
        <w:tc>
          <w:tcPr>
            <w:tcW w:w="1276" w:type="dxa"/>
            <w:shd w:val="clear" w:color="auto" w:fill="FFFFFF" w:themeFill="background1"/>
            <w:noWrap/>
            <w:vAlign w:val="center"/>
            <w:hideMark/>
          </w:tcPr>
          <w:p w14:paraId="1FAFF168"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413617.32</w:t>
            </w:r>
          </w:p>
        </w:tc>
        <w:tc>
          <w:tcPr>
            <w:tcW w:w="1134" w:type="dxa"/>
            <w:shd w:val="clear" w:color="auto" w:fill="FFFFFF" w:themeFill="background1"/>
            <w:vAlign w:val="center"/>
          </w:tcPr>
          <w:p w14:paraId="3BCCF86D"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17.260</w:t>
            </w:r>
          </w:p>
        </w:tc>
        <w:tc>
          <w:tcPr>
            <w:tcW w:w="1134" w:type="dxa"/>
            <w:shd w:val="clear" w:color="auto" w:fill="FFFFFF" w:themeFill="background1"/>
            <w:vAlign w:val="center"/>
          </w:tcPr>
          <w:p w14:paraId="416338AD"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413617.32</w:t>
            </w:r>
          </w:p>
        </w:tc>
        <w:tc>
          <w:tcPr>
            <w:tcW w:w="992" w:type="dxa"/>
            <w:shd w:val="clear" w:color="auto" w:fill="FFFFFF" w:themeFill="background1"/>
            <w:vAlign w:val="center"/>
          </w:tcPr>
          <w:p w14:paraId="16821ED7"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17.260</w:t>
            </w:r>
          </w:p>
        </w:tc>
        <w:tc>
          <w:tcPr>
            <w:tcW w:w="1134" w:type="dxa"/>
            <w:shd w:val="clear" w:color="auto" w:fill="FFFFFF" w:themeFill="background1"/>
            <w:vAlign w:val="center"/>
          </w:tcPr>
          <w:p w14:paraId="18E5D75A"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2F221712"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0059F573"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External cost at sea</w:t>
            </w:r>
          </w:p>
        </w:tc>
        <w:tc>
          <w:tcPr>
            <w:tcW w:w="1276" w:type="dxa"/>
            <w:shd w:val="clear" w:color="auto" w:fill="FFFFFF" w:themeFill="background1"/>
            <w:noWrap/>
            <w:vAlign w:val="center"/>
            <w:hideMark/>
          </w:tcPr>
          <w:p w14:paraId="1629DB20"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w:t>
            </w:r>
          </w:p>
        </w:tc>
        <w:tc>
          <w:tcPr>
            <w:tcW w:w="1134" w:type="dxa"/>
            <w:shd w:val="clear" w:color="auto" w:fill="FFFFFF" w:themeFill="background1"/>
            <w:vAlign w:val="center"/>
          </w:tcPr>
          <w:p w14:paraId="5EC823C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p>
        </w:tc>
        <w:tc>
          <w:tcPr>
            <w:tcW w:w="1134" w:type="dxa"/>
            <w:shd w:val="clear" w:color="auto" w:fill="FFFFFF" w:themeFill="background1"/>
            <w:vAlign w:val="center"/>
          </w:tcPr>
          <w:p w14:paraId="3F10961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w:t>
            </w:r>
          </w:p>
        </w:tc>
        <w:tc>
          <w:tcPr>
            <w:tcW w:w="992" w:type="dxa"/>
            <w:shd w:val="clear" w:color="auto" w:fill="FFFFFF" w:themeFill="background1"/>
            <w:vAlign w:val="center"/>
          </w:tcPr>
          <w:p w14:paraId="7A5B8AE8"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p>
        </w:tc>
        <w:tc>
          <w:tcPr>
            <w:tcW w:w="1134" w:type="dxa"/>
            <w:shd w:val="clear" w:color="auto" w:fill="FFFFFF" w:themeFill="background1"/>
            <w:vAlign w:val="center"/>
          </w:tcPr>
          <w:p w14:paraId="24ECE53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p>
        </w:tc>
      </w:tr>
      <w:tr w:rsidR="00E87A4F" w:rsidRPr="00864C4F" w14:paraId="26906FB2"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49DBC7D5"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kern w:val="0"/>
                <w:sz w:val="18"/>
                <w:szCs w:val="18"/>
                <w14:ligatures w14:val="none"/>
              </w:rPr>
              <w:lastRenderedPageBreak/>
              <w:t>Port cost</w:t>
            </w:r>
          </w:p>
        </w:tc>
        <w:tc>
          <w:tcPr>
            <w:tcW w:w="1276" w:type="dxa"/>
            <w:noWrap/>
            <w:vAlign w:val="center"/>
            <w:hideMark/>
          </w:tcPr>
          <w:p w14:paraId="0F8E1C5C"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134" w:type="dxa"/>
            <w:vAlign w:val="center"/>
          </w:tcPr>
          <w:p w14:paraId="59E2B11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134" w:type="dxa"/>
            <w:vAlign w:val="center"/>
          </w:tcPr>
          <w:p w14:paraId="68AFA32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992" w:type="dxa"/>
            <w:vAlign w:val="center"/>
          </w:tcPr>
          <w:p w14:paraId="35120D8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134" w:type="dxa"/>
            <w:vAlign w:val="center"/>
          </w:tcPr>
          <w:p w14:paraId="109E5E3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r>
      <w:tr w:rsidR="00E87A4F" w:rsidRPr="00864C4F" w14:paraId="437ACE2D"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0E19B6BD"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Total port charges</w:t>
            </w:r>
          </w:p>
        </w:tc>
        <w:tc>
          <w:tcPr>
            <w:tcW w:w="1276" w:type="dxa"/>
            <w:shd w:val="clear" w:color="auto" w:fill="FFFFFF" w:themeFill="background1"/>
            <w:noWrap/>
            <w:vAlign w:val="center"/>
            <w:hideMark/>
          </w:tcPr>
          <w:p w14:paraId="0B84378C"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1302973.74</w:t>
            </w:r>
          </w:p>
        </w:tc>
        <w:tc>
          <w:tcPr>
            <w:tcW w:w="1134" w:type="dxa"/>
            <w:shd w:val="clear" w:color="auto" w:fill="FFFFFF" w:themeFill="background1"/>
            <w:vAlign w:val="center"/>
          </w:tcPr>
          <w:p w14:paraId="6A53A2E4"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54.372</w:t>
            </w:r>
          </w:p>
        </w:tc>
        <w:tc>
          <w:tcPr>
            <w:tcW w:w="1134" w:type="dxa"/>
            <w:shd w:val="clear" w:color="auto" w:fill="FFFFFF" w:themeFill="background1"/>
            <w:vAlign w:val="center"/>
          </w:tcPr>
          <w:p w14:paraId="259CE50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1302973.74</w:t>
            </w:r>
          </w:p>
        </w:tc>
        <w:tc>
          <w:tcPr>
            <w:tcW w:w="992" w:type="dxa"/>
            <w:shd w:val="clear" w:color="auto" w:fill="FFFFFF" w:themeFill="background1"/>
            <w:vAlign w:val="center"/>
          </w:tcPr>
          <w:p w14:paraId="0F0B6CC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54.372</w:t>
            </w:r>
          </w:p>
        </w:tc>
        <w:tc>
          <w:tcPr>
            <w:tcW w:w="1134" w:type="dxa"/>
            <w:shd w:val="clear" w:color="auto" w:fill="FFFFFF" w:themeFill="background1"/>
            <w:vAlign w:val="center"/>
          </w:tcPr>
          <w:p w14:paraId="4459C8D8"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27EB7D7F"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594467AB"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Port handling cost</w:t>
            </w:r>
          </w:p>
        </w:tc>
        <w:tc>
          <w:tcPr>
            <w:tcW w:w="1276" w:type="dxa"/>
            <w:shd w:val="clear" w:color="auto" w:fill="FFFFFF" w:themeFill="background1"/>
            <w:noWrap/>
            <w:vAlign w:val="center"/>
            <w:hideMark/>
          </w:tcPr>
          <w:p w14:paraId="3049E45D"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7403357.85</w:t>
            </w:r>
          </w:p>
        </w:tc>
        <w:tc>
          <w:tcPr>
            <w:tcW w:w="1134" w:type="dxa"/>
            <w:shd w:val="clear" w:color="auto" w:fill="FFFFFF" w:themeFill="background1"/>
            <w:vAlign w:val="center"/>
          </w:tcPr>
          <w:p w14:paraId="1DCA841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134" w:type="dxa"/>
            <w:shd w:val="clear" w:color="auto" w:fill="FFFFFF" w:themeFill="background1"/>
            <w:vAlign w:val="center"/>
          </w:tcPr>
          <w:p w14:paraId="7D39A0E5"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7403357.85</w:t>
            </w:r>
          </w:p>
        </w:tc>
        <w:tc>
          <w:tcPr>
            <w:tcW w:w="992" w:type="dxa"/>
            <w:shd w:val="clear" w:color="auto" w:fill="FFFFFF" w:themeFill="background1"/>
            <w:vAlign w:val="center"/>
          </w:tcPr>
          <w:p w14:paraId="26DE62C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134" w:type="dxa"/>
            <w:shd w:val="clear" w:color="auto" w:fill="FFFFFF" w:themeFill="background1"/>
            <w:vAlign w:val="center"/>
          </w:tcPr>
          <w:p w14:paraId="3C807A95"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1E5DE011"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103A4309" w14:textId="77777777" w:rsidR="00E87A4F" w:rsidRPr="00864C4F" w:rsidRDefault="00E87A4F" w:rsidP="00477688">
            <w:pPr>
              <w:widowControl/>
              <w:jc w:val="center"/>
              <w:rPr>
                <w:rFonts w:eastAsia="新細明體" w:cs="Calibri"/>
                <w:b w:val="0"/>
                <w:bCs w:val="0"/>
                <w:kern w:val="0"/>
                <w:sz w:val="18"/>
                <w:szCs w:val="18"/>
                <w14:ligatures w14:val="none"/>
              </w:rPr>
            </w:pPr>
            <w:r w:rsidRPr="002E6C29">
              <w:rPr>
                <w:rFonts w:eastAsia="新細明體" w:cs="Calibri"/>
                <w:kern w:val="0"/>
                <w:sz w:val="18"/>
                <w:szCs w:val="18"/>
                <w14:ligatures w14:val="none"/>
              </w:rPr>
              <w:t>Total variable cost ship per loop</w:t>
            </w:r>
          </w:p>
          <w:p w14:paraId="262A7834"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(including port charges)</w:t>
            </w:r>
          </w:p>
        </w:tc>
        <w:tc>
          <w:tcPr>
            <w:tcW w:w="1276" w:type="dxa"/>
            <w:noWrap/>
            <w:vAlign w:val="center"/>
            <w:hideMark/>
          </w:tcPr>
          <w:p w14:paraId="465224C1"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9410456.3</w:t>
            </w:r>
          </w:p>
        </w:tc>
        <w:tc>
          <w:tcPr>
            <w:tcW w:w="1134" w:type="dxa"/>
            <w:vAlign w:val="center"/>
          </w:tcPr>
          <w:p w14:paraId="5858CCFD"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392.691</w:t>
            </w:r>
          </w:p>
        </w:tc>
        <w:tc>
          <w:tcPr>
            <w:tcW w:w="1134" w:type="dxa"/>
            <w:vAlign w:val="center"/>
          </w:tcPr>
          <w:p w14:paraId="61BCEDA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30614409.4</w:t>
            </w:r>
          </w:p>
        </w:tc>
        <w:tc>
          <w:tcPr>
            <w:tcW w:w="992" w:type="dxa"/>
            <w:vAlign w:val="center"/>
          </w:tcPr>
          <w:p w14:paraId="27F7425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1277.517</w:t>
            </w:r>
          </w:p>
        </w:tc>
        <w:tc>
          <w:tcPr>
            <w:tcW w:w="1134" w:type="dxa"/>
            <w:vAlign w:val="center"/>
          </w:tcPr>
          <w:p w14:paraId="53B9EA49"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2.253</w:t>
            </w:r>
          </w:p>
        </w:tc>
      </w:tr>
      <w:tr w:rsidR="00E87A4F" w:rsidRPr="00864C4F" w14:paraId="54194C01"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1269B516"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Fixed cost ship per loop</w:t>
            </w:r>
          </w:p>
        </w:tc>
        <w:tc>
          <w:tcPr>
            <w:tcW w:w="1276" w:type="dxa"/>
            <w:noWrap/>
            <w:vAlign w:val="center"/>
            <w:hideMark/>
          </w:tcPr>
          <w:p w14:paraId="7C54B659"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3977508.98</w:t>
            </w:r>
          </w:p>
        </w:tc>
        <w:tc>
          <w:tcPr>
            <w:tcW w:w="1134" w:type="dxa"/>
            <w:vAlign w:val="center"/>
          </w:tcPr>
          <w:p w14:paraId="58E47EB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165.979</w:t>
            </w:r>
          </w:p>
        </w:tc>
        <w:tc>
          <w:tcPr>
            <w:tcW w:w="1134" w:type="dxa"/>
            <w:vAlign w:val="center"/>
          </w:tcPr>
          <w:p w14:paraId="50DE6BED"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3977508.98</w:t>
            </w:r>
          </w:p>
        </w:tc>
        <w:tc>
          <w:tcPr>
            <w:tcW w:w="992" w:type="dxa"/>
            <w:vAlign w:val="center"/>
          </w:tcPr>
          <w:p w14:paraId="7FDF527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165.979</w:t>
            </w:r>
          </w:p>
        </w:tc>
        <w:tc>
          <w:tcPr>
            <w:tcW w:w="1134" w:type="dxa"/>
            <w:vAlign w:val="center"/>
          </w:tcPr>
          <w:p w14:paraId="356A8FB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6B177F3A"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6985B65A"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Total port handling cost per loop</w:t>
            </w:r>
          </w:p>
        </w:tc>
        <w:tc>
          <w:tcPr>
            <w:tcW w:w="1276" w:type="dxa"/>
            <w:noWrap/>
            <w:vAlign w:val="center"/>
            <w:hideMark/>
          </w:tcPr>
          <w:p w14:paraId="49B17B6D"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7403357.85</w:t>
            </w:r>
          </w:p>
        </w:tc>
        <w:tc>
          <w:tcPr>
            <w:tcW w:w="1134" w:type="dxa"/>
            <w:vAlign w:val="center"/>
          </w:tcPr>
          <w:p w14:paraId="38D8F18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134" w:type="dxa"/>
            <w:vAlign w:val="center"/>
          </w:tcPr>
          <w:p w14:paraId="75B73F6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7403357.85</w:t>
            </w:r>
          </w:p>
        </w:tc>
        <w:tc>
          <w:tcPr>
            <w:tcW w:w="992" w:type="dxa"/>
            <w:vAlign w:val="center"/>
          </w:tcPr>
          <w:p w14:paraId="12075CE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134" w:type="dxa"/>
            <w:vAlign w:val="center"/>
          </w:tcPr>
          <w:p w14:paraId="3F84F77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5B0923B7"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7F78C7D5"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Total cost ship per loop</w:t>
            </w:r>
          </w:p>
        </w:tc>
        <w:tc>
          <w:tcPr>
            <w:tcW w:w="1276" w:type="dxa"/>
            <w:noWrap/>
            <w:vAlign w:val="center"/>
            <w:hideMark/>
          </w:tcPr>
          <w:p w14:paraId="579728A5"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b/>
                <w:bCs/>
                <w:color w:val="000000"/>
                <w:kern w:val="0"/>
                <w:sz w:val="18"/>
                <w:szCs w:val="18"/>
                <w14:ligatures w14:val="none"/>
              </w:rPr>
            </w:pPr>
            <w:r w:rsidRPr="002E6C29">
              <w:rPr>
                <w:rFonts w:eastAsia="新細明體" w:cs="Calibri"/>
                <w:b/>
                <w:bCs/>
                <w:color w:val="000000"/>
                <w:kern w:val="0"/>
                <w:sz w:val="18"/>
                <w:szCs w:val="18"/>
                <w14:ligatures w14:val="none"/>
              </w:rPr>
              <w:t>20791323.13</w:t>
            </w:r>
          </w:p>
        </w:tc>
        <w:tc>
          <w:tcPr>
            <w:tcW w:w="1134" w:type="dxa"/>
            <w:vAlign w:val="center"/>
          </w:tcPr>
          <w:p w14:paraId="5CFF1BE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b/>
                <w:bCs/>
                <w:color w:val="000000"/>
                <w:sz w:val="18"/>
                <w:szCs w:val="18"/>
              </w:rPr>
            </w:pPr>
            <w:r w:rsidRPr="00864C4F">
              <w:rPr>
                <w:rFonts w:cs="Calibri"/>
                <w:b/>
                <w:bCs/>
                <w:color w:val="000000"/>
                <w:sz w:val="18"/>
                <w:szCs w:val="18"/>
              </w:rPr>
              <w:t>867.607</w:t>
            </w:r>
          </w:p>
        </w:tc>
        <w:tc>
          <w:tcPr>
            <w:tcW w:w="1134" w:type="dxa"/>
            <w:vAlign w:val="center"/>
          </w:tcPr>
          <w:p w14:paraId="41DF591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b/>
                <w:bCs/>
                <w:color w:val="000000"/>
                <w:kern w:val="0"/>
                <w:sz w:val="18"/>
                <w:szCs w:val="18"/>
                <w14:ligatures w14:val="none"/>
              </w:rPr>
            </w:pPr>
            <w:r w:rsidRPr="00864C4F">
              <w:rPr>
                <w:rFonts w:cs="Calibri"/>
                <w:b/>
                <w:bCs/>
                <w:color w:val="000000"/>
                <w:sz w:val="18"/>
                <w:szCs w:val="18"/>
              </w:rPr>
              <w:t>41995276.22</w:t>
            </w:r>
          </w:p>
        </w:tc>
        <w:tc>
          <w:tcPr>
            <w:tcW w:w="992" w:type="dxa"/>
            <w:vAlign w:val="center"/>
          </w:tcPr>
          <w:p w14:paraId="3068D8B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1752.432</w:t>
            </w:r>
          </w:p>
        </w:tc>
        <w:tc>
          <w:tcPr>
            <w:tcW w:w="1134" w:type="dxa"/>
            <w:vAlign w:val="center"/>
          </w:tcPr>
          <w:p w14:paraId="414DA6EA"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b/>
                <w:bCs/>
                <w:color w:val="000000"/>
                <w:sz w:val="18"/>
                <w:szCs w:val="18"/>
              </w:rPr>
            </w:pPr>
            <w:r w:rsidRPr="00864C4F">
              <w:rPr>
                <w:rFonts w:cs="Calibri"/>
                <w:color w:val="000000"/>
                <w:sz w:val="18"/>
                <w:szCs w:val="18"/>
              </w:rPr>
              <w:t>1.020</w:t>
            </w:r>
          </w:p>
        </w:tc>
      </w:tr>
    </w:tbl>
    <w:p w14:paraId="260322BB" w14:textId="77777777" w:rsidR="00E87A4F" w:rsidRPr="00864C4F" w:rsidRDefault="00E87A4F" w:rsidP="00CB5E55">
      <w:pPr>
        <w:rPr>
          <w:rFonts w:cs="Calibri"/>
        </w:rPr>
      </w:pPr>
    </w:p>
    <w:p w14:paraId="60F6AD22" w14:textId="4DEB1E4D" w:rsidR="00001BDC" w:rsidRPr="00864C4F" w:rsidRDefault="00C403D9" w:rsidP="00CB5E55">
      <w:pPr>
        <w:rPr>
          <w:rFonts w:cs="Calibri" w:hint="eastAsia"/>
          <w:sz w:val="22"/>
          <w:szCs w:val="22"/>
        </w:rPr>
      </w:pPr>
      <w:proofErr w:type="spellStart"/>
      <w:r w:rsidRPr="00864C4F">
        <w:rPr>
          <w:rFonts w:cs="Calibri"/>
          <w:sz w:val="22"/>
          <w:szCs w:val="22"/>
        </w:rPr>
        <w:t>FuelEU</w:t>
      </w:r>
      <w:proofErr w:type="spellEnd"/>
      <w:r w:rsidRPr="00864C4F">
        <w:rPr>
          <w:rFonts w:cs="Calibri"/>
          <w:sz w:val="22"/>
          <w:szCs w:val="22"/>
        </w:rPr>
        <w:t xml:space="preserve"> Maritime establishes maximum limits on the annual average greenhouse gas (GHG) intensity of energy used by ships</w:t>
      </w:r>
      <w:r w:rsidR="00EC071D" w:rsidRPr="00864C4F">
        <w:rPr>
          <w:rFonts w:cs="Calibri"/>
          <w:sz w:val="22"/>
          <w:szCs w:val="22"/>
        </w:rPr>
        <w:t>,</w:t>
      </w:r>
      <w:r w:rsidRPr="00864C4F">
        <w:rPr>
          <w:rFonts w:cs="Calibri"/>
          <w:sz w:val="22"/>
          <w:szCs w:val="22"/>
        </w:rPr>
        <w:t xml:space="preserve"> </w:t>
      </w:r>
      <w:r w:rsidR="00EC071D" w:rsidRPr="00864C4F">
        <w:rPr>
          <w:rFonts w:cs="Calibri"/>
          <w:sz w:val="22"/>
          <w:szCs w:val="22"/>
        </w:rPr>
        <w:t xml:space="preserve">which </w:t>
      </w:r>
      <w:r w:rsidRPr="00864C4F">
        <w:rPr>
          <w:rFonts w:cs="Calibri"/>
          <w:sz w:val="22"/>
          <w:szCs w:val="22"/>
        </w:rPr>
        <w:t xml:space="preserve">exceed 5,000 gross tonnage that call at European ports, regardless of their flag. The regulation aims to ensure a gradual reduction in the GHG intensity of fuels used in the maritime sector, </w:t>
      </w:r>
      <w:r w:rsidR="00F42ED5" w:rsidRPr="00864C4F">
        <w:rPr>
          <w:rFonts w:cs="Calibri"/>
          <w:sz w:val="22"/>
          <w:szCs w:val="22"/>
        </w:rPr>
        <w:t xml:space="preserve">and the target of </w:t>
      </w:r>
      <w:proofErr w:type="spellStart"/>
      <w:r w:rsidR="00F42ED5" w:rsidRPr="00864C4F">
        <w:rPr>
          <w:rFonts w:cs="Calibri"/>
          <w:sz w:val="22"/>
          <w:szCs w:val="22"/>
        </w:rPr>
        <w:t>FuelEU</w:t>
      </w:r>
      <w:proofErr w:type="spellEnd"/>
      <w:r w:rsidR="00F42ED5" w:rsidRPr="00864C4F">
        <w:rPr>
          <w:rFonts w:cs="Calibri"/>
          <w:sz w:val="22"/>
          <w:szCs w:val="22"/>
        </w:rPr>
        <w:t xml:space="preserve"> </w:t>
      </w:r>
      <w:r w:rsidRPr="00864C4F">
        <w:rPr>
          <w:rFonts w:cs="Calibri"/>
          <w:sz w:val="22"/>
          <w:szCs w:val="22"/>
        </w:rPr>
        <w:t>start</w:t>
      </w:r>
      <w:r w:rsidR="00EF0F13" w:rsidRPr="00864C4F">
        <w:rPr>
          <w:rFonts w:cs="Calibri"/>
          <w:sz w:val="22"/>
          <w:szCs w:val="22"/>
        </w:rPr>
        <w:t>s</w:t>
      </w:r>
      <w:r w:rsidRPr="00864C4F">
        <w:rPr>
          <w:rFonts w:cs="Calibri"/>
          <w:sz w:val="22"/>
          <w:szCs w:val="22"/>
        </w:rPr>
        <w:t xml:space="preserve"> with a 2% decrease by 2025 and reach</w:t>
      </w:r>
      <w:r w:rsidR="00EF0F13" w:rsidRPr="00864C4F">
        <w:rPr>
          <w:rFonts w:cs="Calibri"/>
          <w:sz w:val="22"/>
          <w:szCs w:val="22"/>
        </w:rPr>
        <w:t>es</w:t>
      </w:r>
      <w:r w:rsidRPr="00864C4F">
        <w:rPr>
          <w:rFonts w:cs="Calibri"/>
          <w:sz w:val="22"/>
          <w:szCs w:val="22"/>
        </w:rPr>
        <w:t xml:space="preserve"> an 80% reduction by 2050.</w:t>
      </w:r>
      <w:r w:rsidR="008A0065" w:rsidRPr="00864C4F">
        <w:rPr>
          <w:rFonts w:cs="Calibri"/>
          <w:sz w:val="22"/>
          <w:szCs w:val="22"/>
        </w:rPr>
        <w:t xml:space="preserve"> </w:t>
      </w:r>
      <w:r w:rsidR="008A0065" w:rsidRPr="00864C4F">
        <w:rPr>
          <w:rFonts w:cs="Calibri"/>
          <w:sz w:val="22"/>
          <w:szCs w:val="22"/>
        </w:rPr>
        <w:t xml:space="preserve">In the model, </w:t>
      </w:r>
      <w:proofErr w:type="spellStart"/>
      <w:r w:rsidR="008A0065" w:rsidRPr="00864C4F">
        <w:rPr>
          <w:rFonts w:cs="Calibri"/>
          <w:sz w:val="22"/>
          <w:szCs w:val="22"/>
        </w:rPr>
        <w:t>FuelEU</w:t>
      </w:r>
      <w:proofErr w:type="spellEnd"/>
      <w:r w:rsidR="008A0065" w:rsidRPr="00864C4F">
        <w:rPr>
          <w:rFonts w:cs="Calibri"/>
          <w:sz w:val="22"/>
          <w:szCs w:val="22"/>
        </w:rPr>
        <w:t xml:space="preserve"> Maritime is considered within the framework of the Emissions Trading System (ETS), as its impact on fuel choices and emissions indirectly influences ETS-related costs.</w:t>
      </w:r>
      <w:r w:rsidR="00001BDC" w:rsidRPr="00864C4F">
        <w:rPr>
          <w:rFonts w:cs="Calibri"/>
          <w:sz w:val="22"/>
          <w:szCs w:val="22"/>
        </w:rPr>
        <w:t xml:space="preserve"> </w:t>
      </w:r>
      <w:r w:rsidR="002C0317" w:rsidRPr="002C0317">
        <w:rPr>
          <w:rFonts w:cs="Calibri"/>
          <w:sz w:val="22"/>
          <w:szCs w:val="22"/>
        </w:rPr>
        <w:t xml:space="preserve">In the model, ETS costs are set to zero when </w:t>
      </w:r>
      <w:proofErr w:type="spellStart"/>
      <w:r w:rsidR="002C0317" w:rsidRPr="002C0317">
        <w:rPr>
          <w:rFonts w:cs="Calibri"/>
          <w:sz w:val="22"/>
          <w:szCs w:val="22"/>
        </w:rPr>
        <w:t>FuelEU</w:t>
      </w:r>
      <w:proofErr w:type="spellEnd"/>
      <w:r w:rsidR="002C0317" w:rsidRPr="002C0317">
        <w:rPr>
          <w:rFonts w:cs="Calibri"/>
          <w:sz w:val="22"/>
          <w:szCs w:val="22"/>
        </w:rPr>
        <w:t xml:space="preserve"> Maritime is not applied because, in this scenario, ships are not required to comply with the EU Emissions Trading System (ETS). </w:t>
      </w:r>
      <w:r w:rsidR="0076114B">
        <w:rPr>
          <w:rFonts w:cs="Calibri" w:hint="eastAsia"/>
          <w:sz w:val="22"/>
          <w:szCs w:val="22"/>
        </w:rPr>
        <w:t>In other words, w</w:t>
      </w:r>
      <w:r w:rsidR="002C0317" w:rsidRPr="002C0317">
        <w:rPr>
          <w:rFonts w:cs="Calibri"/>
          <w:sz w:val="22"/>
          <w:szCs w:val="22"/>
        </w:rPr>
        <w:t xml:space="preserve">ithout </w:t>
      </w:r>
      <w:proofErr w:type="spellStart"/>
      <w:r w:rsidR="002C0317" w:rsidRPr="002C0317">
        <w:rPr>
          <w:rFonts w:cs="Calibri"/>
          <w:sz w:val="22"/>
          <w:szCs w:val="22"/>
        </w:rPr>
        <w:t>FuelEU</w:t>
      </w:r>
      <w:proofErr w:type="spellEnd"/>
      <w:r w:rsidR="002C0317" w:rsidRPr="002C0317">
        <w:rPr>
          <w:rFonts w:cs="Calibri"/>
          <w:sz w:val="22"/>
          <w:szCs w:val="22"/>
        </w:rPr>
        <w:t>, there is no obligation to purchase carbon allowances (EUAs), and vessels can continue using conventional fuels without incurring ETS-related expenses.</w:t>
      </w:r>
    </w:p>
    <w:p w14:paraId="7863434A" w14:textId="77777777" w:rsidR="00606D21" w:rsidRDefault="00606D21" w:rsidP="00E87A4F">
      <w:pPr>
        <w:rPr>
          <w:rFonts w:cs="Calibri"/>
          <w:sz w:val="22"/>
          <w:szCs w:val="22"/>
        </w:rPr>
      </w:pPr>
      <w:r w:rsidRPr="00606D21">
        <w:rPr>
          <w:rFonts w:cs="Calibri"/>
          <w:sz w:val="22"/>
          <w:szCs w:val="22"/>
        </w:rPr>
        <w:t xml:space="preserve">The chain cost calculation, presented in Table X, shows that </w:t>
      </w:r>
      <w:proofErr w:type="spellStart"/>
      <w:r w:rsidRPr="00606D21">
        <w:rPr>
          <w:rFonts w:cs="Calibri"/>
          <w:sz w:val="22"/>
          <w:szCs w:val="22"/>
        </w:rPr>
        <w:t>FuelEU</w:t>
      </w:r>
      <w:proofErr w:type="spellEnd"/>
      <w:r w:rsidRPr="00606D21">
        <w:rPr>
          <w:rFonts w:cs="Calibri"/>
          <w:sz w:val="22"/>
          <w:szCs w:val="22"/>
        </w:rPr>
        <w:t xml:space="preserve"> implementation impacts maritime and port-related costs. Specifically, if </w:t>
      </w:r>
      <w:proofErr w:type="spellStart"/>
      <w:r w:rsidRPr="00606D21">
        <w:rPr>
          <w:rFonts w:cs="Calibri"/>
          <w:sz w:val="22"/>
          <w:szCs w:val="22"/>
        </w:rPr>
        <w:t>FuelEU</w:t>
      </w:r>
      <w:proofErr w:type="spellEnd"/>
      <w:r w:rsidRPr="00606D21">
        <w:rPr>
          <w:rFonts w:cs="Calibri"/>
          <w:sz w:val="22"/>
          <w:szCs w:val="22"/>
        </w:rPr>
        <w:t xml:space="preserve"> is not implemented, maritime costs decrease by 0.4%, and to-port costs decrease by 0.3%. This cost reduction may be due to ships using cheaper fuels and the absence of additional administrative costs in ports related to </w:t>
      </w:r>
      <w:proofErr w:type="spellStart"/>
      <w:r w:rsidRPr="00606D21">
        <w:rPr>
          <w:rFonts w:cs="Calibri"/>
          <w:sz w:val="22"/>
          <w:szCs w:val="22"/>
        </w:rPr>
        <w:t>FuelEU</w:t>
      </w:r>
      <w:proofErr w:type="spellEnd"/>
      <w:r w:rsidRPr="00606D21">
        <w:rPr>
          <w:rFonts w:cs="Calibri"/>
          <w:sz w:val="22"/>
          <w:szCs w:val="22"/>
        </w:rPr>
        <w:t xml:space="preserve"> compliance. Overall, the total generalized cost decreases by 0.1%.</w:t>
      </w:r>
    </w:p>
    <w:p w14:paraId="454A9C67" w14:textId="66A58EC7" w:rsidR="00E87A4F" w:rsidRPr="00864C4F" w:rsidRDefault="00E87A4F" w:rsidP="00E87A4F">
      <w:pPr>
        <w:rPr>
          <w:rFonts w:cs="Calibri"/>
          <w:sz w:val="22"/>
          <w:szCs w:val="22"/>
        </w:rPr>
      </w:pPr>
      <w:r w:rsidRPr="00864C4F">
        <w:rPr>
          <w:rFonts w:cs="Calibri"/>
          <w:sz w:val="22"/>
          <w:szCs w:val="22"/>
        </w:rPr>
        <w:t xml:space="preserve">The implementation of </w:t>
      </w:r>
      <w:proofErr w:type="spellStart"/>
      <w:r w:rsidRPr="00864C4F">
        <w:rPr>
          <w:rFonts w:cs="Calibri"/>
          <w:sz w:val="22"/>
          <w:szCs w:val="22"/>
        </w:rPr>
        <w:t>FuelEU</w:t>
      </w:r>
      <w:proofErr w:type="spellEnd"/>
      <w:r w:rsidRPr="00864C4F">
        <w:rPr>
          <w:rFonts w:cs="Calibri"/>
          <w:sz w:val="22"/>
          <w:szCs w:val="22"/>
        </w:rPr>
        <w:t xml:space="preserve"> directives mainly affects the ETS cost of ships in the calculation model, as shown in Table X. The results indicate that the total annual ship cost decreases by 2% if </w:t>
      </w:r>
      <w:proofErr w:type="spellStart"/>
      <w:r w:rsidRPr="00864C4F">
        <w:rPr>
          <w:rFonts w:cs="Calibri"/>
          <w:sz w:val="22"/>
          <w:szCs w:val="22"/>
        </w:rPr>
        <w:t>FuelEU</w:t>
      </w:r>
      <w:proofErr w:type="spellEnd"/>
      <w:r w:rsidRPr="00864C4F">
        <w:rPr>
          <w:rFonts w:cs="Calibri"/>
          <w:sz w:val="22"/>
          <w:szCs w:val="22"/>
        </w:rPr>
        <w:t xml:space="preserve"> is not implemented. To reduce ETS cost of ship, the shippers can choose shorter to reduce fuel consumption and emissions. Avoiding  </w:t>
      </w:r>
      <w:r w:rsidRPr="00864C4F">
        <w:rPr>
          <w:rFonts w:cs="Calibri"/>
          <w:sz w:val="22"/>
          <w:szCs w:val="22"/>
        </w:rPr>
        <w:lastRenderedPageBreak/>
        <w:t>congested areas where ships may have to slow down or idle, can also decrease fuel use, this leading to a decrease in ETS cost of ship. Additionally, planning ship arrivals efficiently can also reduce waiting time at ports, thus avoiding unnecessary fuel use and cutting ETS costs.</w:t>
      </w:r>
    </w:p>
    <w:p w14:paraId="638375C9" w14:textId="77777777" w:rsidR="00E87A4F" w:rsidRPr="00864C4F" w:rsidRDefault="00E87A4F" w:rsidP="00782B08">
      <w:pPr>
        <w:rPr>
          <w:rFonts w:cs="Calibri"/>
        </w:rPr>
      </w:pPr>
    </w:p>
    <w:p w14:paraId="0175253F" w14:textId="5D3BB1BB" w:rsidR="00750F76" w:rsidRPr="00864C4F" w:rsidRDefault="00750F76" w:rsidP="00CB5E55">
      <w:pPr>
        <w:rPr>
          <w:rFonts w:cs="Calibri"/>
          <w:sz w:val="22"/>
          <w:szCs w:val="22"/>
        </w:rPr>
      </w:pPr>
      <w:r w:rsidRPr="00864C4F">
        <w:rPr>
          <w:rFonts w:cs="Calibri"/>
          <w:sz w:val="22"/>
          <w:szCs w:val="22"/>
        </w:rPr>
        <w:t xml:space="preserve">Comparison of Chain Cost: With vs Without </w:t>
      </w:r>
      <w:proofErr w:type="spellStart"/>
      <w:r w:rsidRPr="00864C4F">
        <w:rPr>
          <w:rFonts w:cs="Calibri"/>
          <w:sz w:val="22"/>
          <w:szCs w:val="22"/>
        </w:rPr>
        <w:t>FuelEU</w:t>
      </w:r>
      <w:proofErr w:type="spellEnd"/>
      <w:r w:rsidRPr="00864C4F">
        <w:rPr>
          <w:rFonts w:cs="Calibri"/>
          <w:sz w:val="22"/>
          <w:szCs w:val="22"/>
        </w:rPr>
        <w:t xml:space="preserve"> Directive for Xiamen – Zeebrugge route</w:t>
      </w:r>
    </w:p>
    <w:tbl>
      <w:tblPr>
        <w:tblStyle w:val="GridTable5Dark-Accent1"/>
        <w:tblW w:w="7651" w:type="dxa"/>
        <w:jc w:val="center"/>
        <w:tblLayout w:type="fixed"/>
        <w:tblLook w:val="04A0" w:firstRow="1" w:lastRow="0" w:firstColumn="1" w:lastColumn="0" w:noHBand="0" w:noVBand="1"/>
      </w:tblPr>
      <w:tblGrid>
        <w:gridCol w:w="2972"/>
        <w:gridCol w:w="1559"/>
        <w:gridCol w:w="1560"/>
        <w:gridCol w:w="1560"/>
      </w:tblGrid>
      <w:tr w:rsidR="004770A3" w:rsidRPr="00864C4F" w14:paraId="241F67B4" w14:textId="77777777" w:rsidTr="004770A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noWrap/>
          </w:tcPr>
          <w:p w14:paraId="2F56BD06" w14:textId="77777777" w:rsidR="004770A3" w:rsidRPr="00864C4F" w:rsidRDefault="004770A3" w:rsidP="00477688">
            <w:pPr>
              <w:widowControl/>
              <w:rPr>
                <w:rFonts w:eastAsia="Yu Gothic UI Light" w:cs="Calibri"/>
                <w:color w:val="000000"/>
                <w:kern w:val="0"/>
                <w:sz w:val="18"/>
                <w:szCs w:val="18"/>
                <w14:ligatures w14:val="none"/>
              </w:rPr>
            </w:pPr>
            <w:r w:rsidRPr="00864C4F">
              <w:rPr>
                <w:rFonts w:cs="Calibri"/>
                <w:kern w:val="0"/>
                <w:sz w:val="18"/>
                <w:szCs w:val="18"/>
                <w14:ligatures w14:val="none"/>
              </w:rPr>
              <w:t>Chain Cost Components</w:t>
            </w:r>
          </w:p>
        </w:tc>
        <w:tc>
          <w:tcPr>
            <w:tcW w:w="1559" w:type="dxa"/>
            <w:noWrap/>
          </w:tcPr>
          <w:p w14:paraId="2D9E4E0C" w14:textId="77777777" w:rsidR="004770A3" w:rsidRPr="00864C4F" w:rsidRDefault="004770A3" w:rsidP="00477688">
            <w:pPr>
              <w:widowControl/>
              <w:jc w:val="center"/>
              <w:cnfStyle w:val="100000000000" w:firstRow="1" w:lastRow="0" w:firstColumn="0" w:lastColumn="0" w:oddVBand="0" w:evenVBand="0" w:oddHBand="0" w:evenHBand="0" w:firstRowFirstColumn="0" w:firstRowLastColumn="0" w:lastRowFirstColumn="0" w:lastRowLastColumn="0"/>
              <w:rPr>
                <w:rFonts w:cs="Calibri"/>
                <w:kern w:val="0"/>
                <w:sz w:val="18"/>
                <w:szCs w:val="18"/>
                <w14:ligatures w14:val="none"/>
              </w:rPr>
            </w:pPr>
            <w:r w:rsidRPr="00864C4F">
              <w:rPr>
                <w:rFonts w:cs="Calibri"/>
                <w:kern w:val="0"/>
                <w:sz w:val="18"/>
                <w:szCs w:val="18"/>
                <w14:ligatures w14:val="none"/>
              </w:rPr>
              <w:t>Regular Fuel</w:t>
            </w:r>
          </w:p>
        </w:tc>
        <w:tc>
          <w:tcPr>
            <w:tcW w:w="1560" w:type="dxa"/>
          </w:tcPr>
          <w:p w14:paraId="2D24E50C" w14:textId="114F3303" w:rsidR="004770A3" w:rsidRPr="00864C4F" w:rsidRDefault="004770A3" w:rsidP="00477688">
            <w:pPr>
              <w:widowControl/>
              <w:jc w:val="center"/>
              <w:cnfStyle w:val="100000000000" w:firstRow="1"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 xml:space="preserve">No </w:t>
            </w:r>
            <w:proofErr w:type="spellStart"/>
            <w:r w:rsidRPr="00864C4F">
              <w:rPr>
                <w:rFonts w:cs="Calibri"/>
                <w:sz w:val="18"/>
                <w:szCs w:val="18"/>
              </w:rPr>
              <w:t>FuelEU</w:t>
            </w:r>
            <w:proofErr w:type="spellEnd"/>
          </w:p>
        </w:tc>
        <w:tc>
          <w:tcPr>
            <w:tcW w:w="1560" w:type="dxa"/>
          </w:tcPr>
          <w:p w14:paraId="7B73CA28" w14:textId="77777777" w:rsidR="004770A3" w:rsidRPr="00864C4F" w:rsidRDefault="004770A3" w:rsidP="00477688">
            <w:pPr>
              <w:widowControl/>
              <w:jc w:val="center"/>
              <w:cnfStyle w:val="100000000000" w:firstRow="1" w:lastRow="0" w:firstColumn="0" w:lastColumn="0" w:oddVBand="0" w:evenVBand="0" w:oddHBand="0" w:evenHBand="0" w:firstRowFirstColumn="0" w:firstRowLastColumn="0" w:lastRowFirstColumn="0" w:lastRowLastColumn="0"/>
              <w:rPr>
                <w:rFonts w:cs="Calibri"/>
                <w:sz w:val="18"/>
                <w:szCs w:val="18"/>
              </w:rPr>
            </w:pPr>
            <w:r w:rsidRPr="00864C4F">
              <w:rPr>
                <w:rFonts w:cs="Calibri"/>
                <w:sz w:val="18"/>
                <w:szCs w:val="18"/>
              </w:rPr>
              <w:t>Change</w:t>
            </w:r>
          </w:p>
        </w:tc>
      </w:tr>
      <w:tr w:rsidR="00235669" w:rsidRPr="00864C4F" w14:paraId="2260E15A" w14:textId="77777777" w:rsidTr="0091053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63DA31F1" w14:textId="77777777" w:rsidR="00235669" w:rsidRPr="00FE1F56" w:rsidRDefault="00235669" w:rsidP="00235669">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From Hinterland cost</w:t>
            </w:r>
          </w:p>
        </w:tc>
        <w:tc>
          <w:tcPr>
            <w:tcW w:w="1559" w:type="dxa"/>
            <w:shd w:val="clear" w:color="auto" w:fill="FFFFFF" w:themeFill="background1"/>
            <w:noWrap/>
            <w:hideMark/>
          </w:tcPr>
          <w:p w14:paraId="44BAC451" w14:textId="77777777" w:rsidR="00235669" w:rsidRPr="00FE1F56"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1085.74820</w:t>
            </w:r>
          </w:p>
        </w:tc>
        <w:tc>
          <w:tcPr>
            <w:tcW w:w="1560" w:type="dxa"/>
            <w:shd w:val="clear" w:color="auto" w:fill="FFFFFF" w:themeFill="background1"/>
            <w:vAlign w:val="center"/>
          </w:tcPr>
          <w:p w14:paraId="4C0A2221" w14:textId="704B07FB" w:rsidR="00235669" w:rsidRPr="00864C4F"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1085.74820</w:t>
            </w:r>
          </w:p>
        </w:tc>
        <w:tc>
          <w:tcPr>
            <w:tcW w:w="1560" w:type="dxa"/>
            <w:shd w:val="clear" w:color="auto" w:fill="FFFFFF" w:themeFill="background1"/>
            <w:vAlign w:val="center"/>
          </w:tcPr>
          <w:p w14:paraId="3BCC2980" w14:textId="682C9D33" w:rsidR="00235669" w:rsidRPr="00864C4F"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 xml:space="preserve">0.000 </w:t>
            </w:r>
          </w:p>
        </w:tc>
      </w:tr>
      <w:tr w:rsidR="00235669" w:rsidRPr="00864C4F" w14:paraId="75E22B68" w14:textId="77777777" w:rsidTr="00910535">
        <w:trPr>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79B208F7" w14:textId="77777777" w:rsidR="00235669" w:rsidRPr="00FE1F56" w:rsidRDefault="00235669" w:rsidP="00235669">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From Port cost</w:t>
            </w:r>
          </w:p>
        </w:tc>
        <w:tc>
          <w:tcPr>
            <w:tcW w:w="1559" w:type="dxa"/>
            <w:shd w:val="clear" w:color="auto" w:fill="FFFFFF" w:themeFill="background1"/>
            <w:noWrap/>
            <w:hideMark/>
          </w:tcPr>
          <w:p w14:paraId="3E0EF2AD" w14:textId="77777777" w:rsidR="00235669" w:rsidRPr="00FE1F56"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99.65251</w:t>
            </w:r>
          </w:p>
        </w:tc>
        <w:tc>
          <w:tcPr>
            <w:tcW w:w="1560" w:type="dxa"/>
            <w:shd w:val="clear" w:color="auto" w:fill="FFFFFF" w:themeFill="background1"/>
            <w:vAlign w:val="center"/>
          </w:tcPr>
          <w:p w14:paraId="5E80B5EE" w14:textId="48A3A6EB" w:rsidR="00235669" w:rsidRPr="00864C4F"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99.65251</w:t>
            </w:r>
          </w:p>
        </w:tc>
        <w:tc>
          <w:tcPr>
            <w:tcW w:w="1560" w:type="dxa"/>
            <w:shd w:val="clear" w:color="auto" w:fill="FFFFFF" w:themeFill="background1"/>
            <w:vAlign w:val="center"/>
          </w:tcPr>
          <w:p w14:paraId="0AD0588F" w14:textId="5CFF927D" w:rsidR="00235669" w:rsidRPr="00864C4F"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 xml:space="preserve">0.000 </w:t>
            </w:r>
          </w:p>
        </w:tc>
      </w:tr>
      <w:tr w:rsidR="00235669" w:rsidRPr="00864C4F" w14:paraId="679EB13A" w14:textId="77777777" w:rsidTr="0091053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00A81D3C" w14:textId="77777777" w:rsidR="00235669" w:rsidRPr="00FE1F56" w:rsidRDefault="00235669" w:rsidP="00235669">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Maritime cost</w:t>
            </w:r>
          </w:p>
        </w:tc>
        <w:tc>
          <w:tcPr>
            <w:tcW w:w="1559" w:type="dxa"/>
            <w:shd w:val="clear" w:color="auto" w:fill="FFFFFF" w:themeFill="background1"/>
            <w:noWrap/>
            <w:hideMark/>
          </w:tcPr>
          <w:p w14:paraId="4C76425D" w14:textId="77777777" w:rsidR="00235669" w:rsidRPr="00FE1F56"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637.59082</w:t>
            </w:r>
          </w:p>
        </w:tc>
        <w:tc>
          <w:tcPr>
            <w:tcW w:w="1560" w:type="dxa"/>
            <w:shd w:val="clear" w:color="auto" w:fill="FFFFFF" w:themeFill="background1"/>
            <w:vAlign w:val="center"/>
          </w:tcPr>
          <w:p w14:paraId="6FDCD322" w14:textId="51561536" w:rsidR="00235669" w:rsidRPr="00864C4F"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635.13984</w:t>
            </w:r>
          </w:p>
        </w:tc>
        <w:tc>
          <w:tcPr>
            <w:tcW w:w="1560" w:type="dxa"/>
            <w:shd w:val="clear" w:color="auto" w:fill="FFFFFF" w:themeFill="background1"/>
            <w:vAlign w:val="center"/>
          </w:tcPr>
          <w:p w14:paraId="059CB37F" w14:textId="47E4A321" w:rsidR="00235669" w:rsidRPr="00864C4F"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 xml:space="preserve">-0.004 </w:t>
            </w:r>
          </w:p>
        </w:tc>
      </w:tr>
      <w:tr w:rsidR="00235669" w:rsidRPr="00864C4F" w14:paraId="694ACA0E" w14:textId="77777777" w:rsidTr="00910535">
        <w:trPr>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4E01F0B6" w14:textId="77777777" w:rsidR="00235669" w:rsidRPr="00FE1F56" w:rsidRDefault="00235669" w:rsidP="00235669">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To Port cost</w:t>
            </w:r>
          </w:p>
        </w:tc>
        <w:tc>
          <w:tcPr>
            <w:tcW w:w="1559" w:type="dxa"/>
            <w:shd w:val="clear" w:color="auto" w:fill="FFFFFF" w:themeFill="background1"/>
            <w:noWrap/>
            <w:hideMark/>
          </w:tcPr>
          <w:p w14:paraId="3B7C4C83" w14:textId="77777777" w:rsidR="00235669" w:rsidRPr="00FE1F56"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381.82987</w:t>
            </w:r>
          </w:p>
        </w:tc>
        <w:tc>
          <w:tcPr>
            <w:tcW w:w="1560" w:type="dxa"/>
            <w:shd w:val="clear" w:color="auto" w:fill="FFFFFF" w:themeFill="background1"/>
            <w:vAlign w:val="center"/>
          </w:tcPr>
          <w:p w14:paraId="2A9001A0" w14:textId="24E4A9AA" w:rsidR="00235669" w:rsidRPr="00864C4F"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380.72794</w:t>
            </w:r>
          </w:p>
        </w:tc>
        <w:tc>
          <w:tcPr>
            <w:tcW w:w="1560" w:type="dxa"/>
            <w:shd w:val="clear" w:color="auto" w:fill="FFFFFF" w:themeFill="background1"/>
            <w:vAlign w:val="center"/>
          </w:tcPr>
          <w:p w14:paraId="719B2E44" w14:textId="6ECEA5A3" w:rsidR="00235669" w:rsidRPr="00864C4F"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 xml:space="preserve">-0.003 </w:t>
            </w:r>
          </w:p>
        </w:tc>
      </w:tr>
      <w:tr w:rsidR="00235669" w:rsidRPr="00864C4F" w14:paraId="3AF9FD54" w14:textId="77777777" w:rsidTr="0091053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FFFFF" w:themeFill="background1"/>
            <w:noWrap/>
            <w:hideMark/>
          </w:tcPr>
          <w:p w14:paraId="753675E4" w14:textId="77777777" w:rsidR="00235669" w:rsidRPr="00FE1F56" w:rsidRDefault="00235669" w:rsidP="00235669">
            <w:pPr>
              <w:widowControl/>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To Hinterland cost</w:t>
            </w:r>
          </w:p>
        </w:tc>
        <w:tc>
          <w:tcPr>
            <w:tcW w:w="1559" w:type="dxa"/>
            <w:shd w:val="clear" w:color="auto" w:fill="FFFFFF" w:themeFill="background1"/>
            <w:noWrap/>
            <w:hideMark/>
          </w:tcPr>
          <w:p w14:paraId="4555A0DE" w14:textId="77777777" w:rsidR="00235669" w:rsidRPr="00FE1F56"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390.61684</w:t>
            </w:r>
          </w:p>
        </w:tc>
        <w:tc>
          <w:tcPr>
            <w:tcW w:w="1560" w:type="dxa"/>
            <w:shd w:val="clear" w:color="auto" w:fill="FFFFFF" w:themeFill="background1"/>
            <w:vAlign w:val="center"/>
          </w:tcPr>
          <w:p w14:paraId="01093400" w14:textId="07819954" w:rsidR="00235669" w:rsidRPr="00864C4F"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390.61684</w:t>
            </w:r>
          </w:p>
        </w:tc>
        <w:tc>
          <w:tcPr>
            <w:tcW w:w="1560" w:type="dxa"/>
            <w:shd w:val="clear" w:color="auto" w:fill="FFFFFF" w:themeFill="background1"/>
            <w:vAlign w:val="center"/>
          </w:tcPr>
          <w:p w14:paraId="591CA530" w14:textId="2D7328F8" w:rsidR="00235669" w:rsidRPr="00864C4F" w:rsidRDefault="00235669" w:rsidP="00235669">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 xml:space="preserve">0.000 </w:t>
            </w:r>
          </w:p>
        </w:tc>
      </w:tr>
      <w:tr w:rsidR="00235669" w:rsidRPr="00864C4F" w14:paraId="770906E1" w14:textId="77777777" w:rsidTr="00910535">
        <w:trPr>
          <w:trHeight w:val="290"/>
          <w:jc w:val="center"/>
        </w:trPr>
        <w:tc>
          <w:tcPr>
            <w:cnfStyle w:val="001000000000" w:firstRow="0" w:lastRow="0" w:firstColumn="1" w:lastColumn="0" w:oddVBand="0" w:evenVBand="0" w:oddHBand="0" w:evenHBand="0" w:firstRowFirstColumn="0" w:firstRowLastColumn="0" w:lastRowFirstColumn="0" w:lastRowLastColumn="0"/>
            <w:tcW w:w="2972" w:type="dxa"/>
            <w:noWrap/>
            <w:hideMark/>
          </w:tcPr>
          <w:p w14:paraId="23784B1F" w14:textId="77777777" w:rsidR="00235669" w:rsidRPr="00FE1F56" w:rsidRDefault="00235669" w:rsidP="00235669">
            <w:pPr>
              <w:widowControl/>
              <w:rPr>
                <w:rFonts w:eastAsia="Yu Gothic UI Light" w:cs="Calibri"/>
                <w:kern w:val="0"/>
                <w:sz w:val="18"/>
                <w:szCs w:val="18"/>
                <w14:ligatures w14:val="none"/>
              </w:rPr>
            </w:pPr>
            <w:r w:rsidRPr="00FE1F56">
              <w:rPr>
                <w:rFonts w:eastAsia="Yu Gothic UI Light" w:cs="Calibri"/>
                <w:kern w:val="0"/>
                <w:sz w:val="18"/>
                <w:szCs w:val="18"/>
                <w14:ligatures w14:val="none"/>
              </w:rPr>
              <w:t xml:space="preserve">Total </w:t>
            </w:r>
            <w:proofErr w:type="spellStart"/>
            <w:r w:rsidRPr="00FE1F56">
              <w:rPr>
                <w:rFonts w:eastAsia="Yu Gothic UI Light" w:cs="Calibri"/>
                <w:kern w:val="0"/>
                <w:sz w:val="18"/>
                <w:szCs w:val="18"/>
                <w14:ligatures w14:val="none"/>
              </w:rPr>
              <w:t>generalised</w:t>
            </w:r>
            <w:proofErr w:type="spellEnd"/>
            <w:r w:rsidRPr="00FE1F56">
              <w:rPr>
                <w:rFonts w:eastAsia="Yu Gothic UI Light" w:cs="Calibri"/>
                <w:kern w:val="0"/>
                <w:sz w:val="18"/>
                <w:szCs w:val="18"/>
                <w14:ligatures w14:val="none"/>
              </w:rPr>
              <w:t xml:space="preserve"> chain cost</w:t>
            </w:r>
          </w:p>
        </w:tc>
        <w:tc>
          <w:tcPr>
            <w:tcW w:w="1559" w:type="dxa"/>
            <w:noWrap/>
            <w:hideMark/>
          </w:tcPr>
          <w:p w14:paraId="58E6A24D" w14:textId="77777777" w:rsidR="00235669" w:rsidRPr="00FE1F56"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FE1F56">
              <w:rPr>
                <w:rFonts w:eastAsia="Yu Gothic UI Light" w:cs="Calibri"/>
                <w:color w:val="000000"/>
                <w:kern w:val="0"/>
                <w:sz w:val="18"/>
                <w:szCs w:val="18"/>
                <w14:ligatures w14:val="none"/>
              </w:rPr>
              <w:t>2595.43824</w:t>
            </w:r>
          </w:p>
        </w:tc>
        <w:tc>
          <w:tcPr>
            <w:tcW w:w="1560" w:type="dxa"/>
            <w:vAlign w:val="center"/>
          </w:tcPr>
          <w:p w14:paraId="22ED4D19" w14:textId="6C451B15" w:rsidR="00235669" w:rsidRPr="00864C4F"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eastAsia="Yu Gothic UI Light" w:cs="Calibri"/>
                <w:color w:val="000000"/>
                <w:kern w:val="0"/>
                <w:sz w:val="18"/>
                <w:szCs w:val="18"/>
                <w14:ligatures w14:val="none"/>
              </w:rPr>
            </w:pPr>
            <w:r w:rsidRPr="00864C4F">
              <w:rPr>
                <w:rFonts w:cs="Calibri"/>
                <w:color w:val="000000"/>
                <w:sz w:val="18"/>
                <w:szCs w:val="18"/>
              </w:rPr>
              <w:t>2591.88534</w:t>
            </w:r>
          </w:p>
        </w:tc>
        <w:tc>
          <w:tcPr>
            <w:tcW w:w="1560" w:type="dxa"/>
            <w:vAlign w:val="center"/>
          </w:tcPr>
          <w:p w14:paraId="04B38BDB" w14:textId="72F15651" w:rsidR="00235669" w:rsidRPr="00864C4F" w:rsidRDefault="00235669" w:rsidP="00235669">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 xml:space="preserve">-0.001 </w:t>
            </w:r>
          </w:p>
        </w:tc>
      </w:tr>
    </w:tbl>
    <w:p w14:paraId="643C29DB" w14:textId="77777777" w:rsidR="00CB5E55" w:rsidRPr="00864C4F" w:rsidRDefault="00CB5E55" w:rsidP="00CB5E55">
      <w:pPr>
        <w:rPr>
          <w:rFonts w:cs="Calibri"/>
        </w:rPr>
      </w:pPr>
    </w:p>
    <w:p w14:paraId="709B051D" w14:textId="77777777" w:rsidR="00E87A4F" w:rsidRPr="00864C4F" w:rsidRDefault="00E87A4F" w:rsidP="00E87A4F">
      <w:pPr>
        <w:jc w:val="center"/>
        <w:rPr>
          <w:rFonts w:cs="Calibri"/>
          <w:sz w:val="22"/>
          <w:szCs w:val="22"/>
        </w:rPr>
      </w:pPr>
      <w:r w:rsidRPr="00864C4F">
        <w:rPr>
          <w:rFonts w:cs="Calibri"/>
          <w:sz w:val="22"/>
          <w:szCs w:val="22"/>
        </w:rPr>
        <w:t>Comparison of Vessel Cost: With vs Without LNG</w:t>
      </w:r>
    </w:p>
    <w:tbl>
      <w:tblPr>
        <w:tblStyle w:val="GridTable5Dark-Accent1"/>
        <w:tblW w:w="8500" w:type="dxa"/>
        <w:tblLayout w:type="fixed"/>
        <w:tblLook w:val="04A0" w:firstRow="1" w:lastRow="0" w:firstColumn="1" w:lastColumn="0" w:noHBand="0" w:noVBand="1"/>
      </w:tblPr>
      <w:tblGrid>
        <w:gridCol w:w="2830"/>
        <w:gridCol w:w="1276"/>
        <w:gridCol w:w="1134"/>
        <w:gridCol w:w="1276"/>
        <w:gridCol w:w="850"/>
        <w:gridCol w:w="1134"/>
      </w:tblGrid>
      <w:tr w:rsidR="00E87A4F" w:rsidRPr="00864C4F" w14:paraId="61EC2665" w14:textId="77777777" w:rsidTr="0047768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vMerge w:val="restart"/>
            <w:noWrap/>
            <w:vAlign w:val="center"/>
          </w:tcPr>
          <w:p w14:paraId="0620210D" w14:textId="77777777" w:rsidR="00E87A4F" w:rsidRPr="00864C4F" w:rsidRDefault="00E87A4F" w:rsidP="00477688">
            <w:pPr>
              <w:widowControl/>
              <w:jc w:val="center"/>
              <w:rPr>
                <w:rFonts w:eastAsia="新細明體" w:cs="Calibri"/>
                <w:kern w:val="0"/>
                <w:sz w:val="18"/>
                <w:szCs w:val="18"/>
                <w14:ligatures w14:val="none"/>
              </w:rPr>
            </w:pPr>
            <w:r w:rsidRPr="00864C4F">
              <w:rPr>
                <w:rFonts w:eastAsia="新細明體" w:cs="Calibri"/>
                <w:kern w:val="0"/>
                <w:sz w:val="18"/>
                <w:szCs w:val="18"/>
                <w14:ligatures w14:val="none"/>
              </w:rPr>
              <w:t>Vessel Cost Component</w:t>
            </w:r>
          </w:p>
        </w:tc>
        <w:tc>
          <w:tcPr>
            <w:tcW w:w="2410" w:type="dxa"/>
            <w:gridSpan w:val="2"/>
            <w:noWrap/>
            <w:vAlign w:val="center"/>
          </w:tcPr>
          <w:p w14:paraId="19A09869"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Regular Fuel</w:t>
            </w:r>
          </w:p>
        </w:tc>
        <w:tc>
          <w:tcPr>
            <w:tcW w:w="2126" w:type="dxa"/>
            <w:gridSpan w:val="2"/>
            <w:vAlign w:val="center"/>
          </w:tcPr>
          <w:p w14:paraId="4103BFD3"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 xml:space="preserve">No </w:t>
            </w:r>
            <w:proofErr w:type="spellStart"/>
            <w:r w:rsidRPr="00864C4F">
              <w:rPr>
                <w:rFonts w:eastAsia="新細明體" w:cs="Calibri"/>
                <w:kern w:val="0"/>
                <w:sz w:val="18"/>
                <w:szCs w:val="18"/>
                <w14:ligatures w14:val="none"/>
              </w:rPr>
              <w:t>FuelEU</w:t>
            </w:r>
            <w:proofErr w:type="spellEnd"/>
          </w:p>
        </w:tc>
        <w:tc>
          <w:tcPr>
            <w:tcW w:w="1134" w:type="dxa"/>
            <w:vAlign w:val="center"/>
          </w:tcPr>
          <w:p w14:paraId="47E2C6A9" w14:textId="77777777" w:rsidR="00E87A4F" w:rsidRPr="00864C4F" w:rsidRDefault="00E87A4F" w:rsidP="00477688">
            <w:pPr>
              <w:widowControl/>
              <w:jc w:val="center"/>
              <w:cnfStyle w:val="100000000000" w:firstRow="1" w:lastRow="0" w:firstColumn="0" w:lastColumn="0" w:oddVBand="0" w:evenVBand="0" w:oddHBand="0" w:evenHBand="0" w:firstRowFirstColumn="0" w:firstRowLastColumn="0" w:lastRowFirstColumn="0" w:lastRowLastColumn="0"/>
              <w:rPr>
                <w:rFonts w:eastAsia="新細明體" w:cs="Calibri"/>
                <w:kern w:val="0"/>
                <w:sz w:val="18"/>
                <w:szCs w:val="18"/>
                <w14:ligatures w14:val="none"/>
              </w:rPr>
            </w:pPr>
            <w:r w:rsidRPr="00864C4F">
              <w:rPr>
                <w:rFonts w:eastAsia="新細明體" w:cs="Calibri"/>
                <w:kern w:val="0"/>
                <w:sz w:val="18"/>
                <w:szCs w:val="18"/>
                <w14:ligatures w14:val="none"/>
              </w:rPr>
              <w:t>Change</w:t>
            </w:r>
          </w:p>
        </w:tc>
      </w:tr>
      <w:tr w:rsidR="00E87A4F" w:rsidRPr="00864C4F" w14:paraId="021543D0"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vMerge/>
            <w:noWrap/>
            <w:vAlign w:val="center"/>
            <w:hideMark/>
          </w:tcPr>
          <w:p w14:paraId="3B89EB33" w14:textId="77777777" w:rsidR="00E87A4F" w:rsidRPr="002E6C29" w:rsidRDefault="00E87A4F" w:rsidP="00477688">
            <w:pPr>
              <w:widowControl/>
              <w:jc w:val="center"/>
              <w:rPr>
                <w:rFonts w:eastAsia="新細明體" w:cs="Calibri"/>
                <w:kern w:val="0"/>
                <w:sz w:val="18"/>
                <w:szCs w:val="18"/>
                <w14:ligatures w14:val="none"/>
              </w:rPr>
            </w:pPr>
          </w:p>
        </w:tc>
        <w:tc>
          <w:tcPr>
            <w:tcW w:w="1276" w:type="dxa"/>
            <w:noWrap/>
            <w:vAlign w:val="center"/>
            <w:hideMark/>
          </w:tcPr>
          <w:p w14:paraId="3510DCB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b/>
                <w:bCs/>
                <w:color w:val="000000"/>
                <w:kern w:val="0"/>
                <w:sz w:val="18"/>
                <w:szCs w:val="18"/>
                <w14:ligatures w14:val="none"/>
              </w:rPr>
            </w:pPr>
            <w:r w:rsidRPr="002E6C29">
              <w:rPr>
                <w:rFonts w:eastAsia="新細明體" w:cs="Calibri"/>
                <w:b/>
                <w:bCs/>
                <w:color w:val="000000"/>
                <w:kern w:val="0"/>
                <w:sz w:val="18"/>
                <w:szCs w:val="18"/>
                <w14:ligatures w14:val="none"/>
              </w:rPr>
              <w:t>Total cost</w:t>
            </w:r>
          </w:p>
          <w:p w14:paraId="62EF51F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b/>
                <w:bCs/>
                <w:color w:val="000000"/>
                <w:kern w:val="0"/>
                <w:sz w:val="18"/>
                <w:szCs w:val="18"/>
                <w14:ligatures w14:val="none"/>
              </w:rPr>
            </w:pPr>
            <w:r w:rsidRPr="002E6C29">
              <w:rPr>
                <w:rFonts w:eastAsia="新細明體" w:cs="Calibri"/>
                <w:b/>
                <w:bCs/>
                <w:color w:val="000000"/>
                <w:kern w:val="0"/>
                <w:sz w:val="18"/>
                <w:szCs w:val="18"/>
                <w14:ligatures w14:val="none"/>
              </w:rPr>
              <w:t>per leg</w:t>
            </w:r>
          </w:p>
        </w:tc>
        <w:tc>
          <w:tcPr>
            <w:tcW w:w="1134" w:type="dxa"/>
            <w:vAlign w:val="center"/>
          </w:tcPr>
          <w:p w14:paraId="122908A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b/>
                <w:bCs/>
                <w:color w:val="000000"/>
                <w:kern w:val="0"/>
                <w:sz w:val="18"/>
                <w:szCs w:val="18"/>
                <w14:ligatures w14:val="none"/>
              </w:rPr>
            </w:pPr>
            <w:r w:rsidRPr="00864C4F">
              <w:rPr>
                <w:rFonts w:eastAsia="新細明體" w:cs="Calibri"/>
                <w:b/>
                <w:bCs/>
                <w:color w:val="000000"/>
                <w:kern w:val="0"/>
                <w:sz w:val="18"/>
                <w:szCs w:val="18"/>
                <w14:ligatures w14:val="none"/>
              </w:rPr>
              <w:t>Cost/ TEU</w:t>
            </w:r>
          </w:p>
        </w:tc>
        <w:tc>
          <w:tcPr>
            <w:tcW w:w="1276" w:type="dxa"/>
            <w:vAlign w:val="center"/>
          </w:tcPr>
          <w:p w14:paraId="4B3E2C9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b/>
                <w:bCs/>
                <w:color w:val="000000"/>
                <w:kern w:val="0"/>
                <w:sz w:val="18"/>
                <w:szCs w:val="18"/>
                <w14:ligatures w14:val="none"/>
              </w:rPr>
            </w:pPr>
            <w:r w:rsidRPr="002E6C29">
              <w:rPr>
                <w:rFonts w:eastAsia="新細明體" w:cs="Calibri"/>
                <w:b/>
                <w:bCs/>
                <w:color w:val="000000"/>
                <w:kern w:val="0"/>
                <w:sz w:val="18"/>
                <w:szCs w:val="18"/>
                <w14:ligatures w14:val="none"/>
              </w:rPr>
              <w:t>Total cost</w:t>
            </w:r>
          </w:p>
          <w:p w14:paraId="2B42481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b/>
                <w:bCs/>
                <w:color w:val="000000"/>
                <w:kern w:val="0"/>
                <w:sz w:val="18"/>
                <w:szCs w:val="18"/>
                <w14:ligatures w14:val="none"/>
              </w:rPr>
            </w:pPr>
            <w:r w:rsidRPr="002E6C29">
              <w:rPr>
                <w:rFonts w:eastAsia="新細明體" w:cs="Calibri"/>
                <w:b/>
                <w:bCs/>
                <w:color w:val="000000"/>
                <w:kern w:val="0"/>
                <w:sz w:val="18"/>
                <w:szCs w:val="18"/>
                <w14:ligatures w14:val="none"/>
              </w:rPr>
              <w:t>per leg</w:t>
            </w:r>
          </w:p>
        </w:tc>
        <w:tc>
          <w:tcPr>
            <w:tcW w:w="850" w:type="dxa"/>
            <w:vAlign w:val="center"/>
          </w:tcPr>
          <w:p w14:paraId="28D592D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b/>
                <w:bCs/>
                <w:color w:val="000000"/>
                <w:kern w:val="0"/>
                <w:sz w:val="18"/>
                <w:szCs w:val="18"/>
                <w14:ligatures w14:val="none"/>
              </w:rPr>
            </w:pPr>
            <w:r w:rsidRPr="00864C4F">
              <w:rPr>
                <w:rFonts w:eastAsia="新細明體" w:cs="Calibri"/>
                <w:b/>
                <w:bCs/>
                <w:color w:val="000000"/>
                <w:kern w:val="0"/>
                <w:sz w:val="18"/>
                <w:szCs w:val="18"/>
                <w14:ligatures w14:val="none"/>
              </w:rPr>
              <w:t>Cost/ TEU</w:t>
            </w:r>
          </w:p>
        </w:tc>
        <w:tc>
          <w:tcPr>
            <w:tcW w:w="1134" w:type="dxa"/>
            <w:vAlign w:val="center"/>
          </w:tcPr>
          <w:p w14:paraId="2470450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b/>
                <w:bCs/>
                <w:color w:val="000000"/>
                <w:kern w:val="0"/>
                <w:sz w:val="18"/>
                <w:szCs w:val="18"/>
                <w14:ligatures w14:val="none"/>
              </w:rPr>
            </w:pPr>
          </w:p>
        </w:tc>
      </w:tr>
      <w:tr w:rsidR="00E87A4F" w:rsidRPr="00864C4F" w14:paraId="1449212B"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04D7385D"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kern w:val="0"/>
                <w:sz w:val="18"/>
                <w:szCs w:val="18"/>
                <w14:ligatures w14:val="none"/>
              </w:rPr>
              <w:t>Running cost ship</w:t>
            </w:r>
          </w:p>
        </w:tc>
        <w:tc>
          <w:tcPr>
            <w:tcW w:w="1276" w:type="dxa"/>
            <w:noWrap/>
            <w:vAlign w:val="center"/>
            <w:hideMark/>
          </w:tcPr>
          <w:p w14:paraId="4F9A0B4C"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480936.36</w:t>
            </w:r>
          </w:p>
        </w:tc>
        <w:tc>
          <w:tcPr>
            <w:tcW w:w="1134" w:type="dxa"/>
            <w:vAlign w:val="center"/>
          </w:tcPr>
          <w:p w14:paraId="63B04654"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20.069</w:t>
            </w:r>
          </w:p>
        </w:tc>
        <w:tc>
          <w:tcPr>
            <w:tcW w:w="1276" w:type="dxa"/>
            <w:vAlign w:val="center"/>
          </w:tcPr>
          <w:p w14:paraId="7C86EC5D"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480936.36</w:t>
            </w:r>
          </w:p>
        </w:tc>
        <w:tc>
          <w:tcPr>
            <w:tcW w:w="850" w:type="dxa"/>
            <w:vAlign w:val="center"/>
          </w:tcPr>
          <w:p w14:paraId="5F26A28C"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20.069</w:t>
            </w:r>
          </w:p>
        </w:tc>
        <w:tc>
          <w:tcPr>
            <w:tcW w:w="1134" w:type="dxa"/>
            <w:vAlign w:val="center"/>
          </w:tcPr>
          <w:p w14:paraId="6836AAF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42EBC91B"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548A2FE2"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Manning cost ship</w:t>
            </w:r>
          </w:p>
        </w:tc>
        <w:tc>
          <w:tcPr>
            <w:tcW w:w="1276" w:type="dxa"/>
            <w:shd w:val="clear" w:color="auto" w:fill="FFFFFF" w:themeFill="background1"/>
            <w:noWrap/>
            <w:vAlign w:val="center"/>
            <w:hideMark/>
          </w:tcPr>
          <w:p w14:paraId="545BD2F5"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207612.09</w:t>
            </w:r>
          </w:p>
        </w:tc>
        <w:tc>
          <w:tcPr>
            <w:tcW w:w="1134" w:type="dxa"/>
            <w:shd w:val="clear" w:color="auto" w:fill="FFFFFF" w:themeFill="background1"/>
            <w:vAlign w:val="center"/>
          </w:tcPr>
          <w:p w14:paraId="61B8E36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8.663</w:t>
            </w:r>
          </w:p>
        </w:tc>
        <w:tc>
          <w:tcPr>
            <w:tcW w:w="1276" w:type="dxa"/>
            <w:shd w:val="clear" w:color="auto" w:fill="FFFFFF" w:themeFill="background1"/>
            <w:vAlign w:val="center"/>
          </w:tcPr>
          <w:p w14:paraId="0CF8136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207612.09</w:t>
            </w:r>
          </w:p>
        </w:tc>
        <w:tc>
          <w:tcPr>
            <w:tcW w:w="850" w:type="dxa"/>
            <w:shd w:val="clear" w:color="auto" w:fill="FFFFFF" w:themeFill="background1"/>
            <w:vAlign w:val="center"/>
          </w:tcPr>
          <w:p w14:paraId="240D000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8.663</w:t>
            </w:r>
          </w:p>
        </w:tc>
        <w:tc>
          <w:tcPr>
            <w:tcW w:w="1134" w:type="dxa"/>
            <w:shd w:val="clear" w:color="auto" w:fill="FFFFFF" w:themeFill="background1"/>
            <w:vAlign w:val="center"/>
          </w:tcPr>
          <w:p w14:paraId="21C5F8F0"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5E9DB2BD"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6A8EFA4E"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Store cost</w:t>
            </w:r>
          </w:p>
        </w:tc>
        <w:tc>
          <w:tcPr>
            <w:tcW w:w="1276" w:type="dxa"/>
            <w:shd w:val="clear" w:color="auto" w:fill="FFFFFF" w:themeFill="background1"/>
            <w:noWrap/>
            <w:vAlign w:val="center"/>
            <w:hideMark/>
          </w:tcPr>
          <w:p w14:paraId="0A2578F3"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8306.57</w:t>
            </w:r>
          </w:p>
        </w:tc>
        <w:tc>
          <w:tcPr>
            <w:tcW w:w="1134" w:type="dxa"/>
            <w:shd w:val="clear" w:color="auto" w:fill="FFFFFF" w:themeFill="background1"/>
            <w:vAlign w:val="center"/>
          </w:tcPr>
          <w:p w14:paraId="5A9DCA5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0.347</w:t>
            </w:r>
          </w:p>
        </w:tc>
        <w:tc>
          <w:tcPr>
            <w:tcW w:w="1276" w:type="dxa"/>
            <w:shd w:val="clear" w:color="auto" w:fill="FFFFFF" w:themeFill="background1"/>
            <w:vAlign w:val="center"/>
          </w:tcPr>
          <w:p w14:paraId="7268FB3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8306.57</w:t>
            </w:r>
          </w:p>
        </w:tc>
        <w:tc>
          <w:tcPr>
            <w:tcW w:w="850" w:type="dxa"/>
            <w:shd w:val="clear" w:color="auto" w:fill="FFFFFF" w:themeFill="background1"/>
            <w:vAlign w:val="center"/>
          </w:tcPr>
          <w:p w14:paraId="407A7E57"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0.347</w:t>
            </w:r>
          </w:p>
        </w:tc>
        <w:tc>
          <w:tcPr>
            <w:tcW w:w="1134" w:type="dxa"/>
            <w:shd w:val="clear" w:color="auto" w:fill="FFFFFF" w:themeFill="background1"/>
            <w:vAlign w:val="center"/>
          </w:tcPr>
          <w:p w14:paraId="364DB82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799C757E"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62DED3F3"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Insurance cost</w:t>
            </w:r>
          </w:p>
        </w:tc>
        <w:tc>
          <w:tcPr>
            <w:tcW w:w="1276" w:type="dxa"/>
            <w:shd w:val="clear" w:color="auto" w:fill="FFFFFF" w:themeFill="background1"/>
            <w:noWrap/>
            <w:vAlign w:val="center"/>
            <w:hideMark/>
          </w:tcPr>
          <w:p w14:paraId="19760292"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217422.36</w:t>
            </w:r>
          </w:p>
        </w:tc>
        <w:tc>
          <w:tcPr>
            <w:tcW w:w="1134" w:type="dxa"/>
            <w:shd w:val="clear" w:color="auto" w:fill="FFFFFF" w:themeFill="background1"/>
            <w:vAlign w:val="center"/>
          </w:tcPr>
          <w:p w14:paraId="5F4D671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9.073</w:t>
            </w:r>
          </w:p>
        </w:tc>
        <w:tc>
          <w:tcPr>
            <w:tcW w:w="1276" w:type="dxa"/>
            <w:shd w:val="clear" w:color="auto" w:fill="FFFFFF" w:themeFill="background1"/>
            <w:vAlign w:val="center"/>
          </w:tcPr>
          <w:p w14:paraId="3778C53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217422.36</w:t>
            </w:r>
          </w:p>
        </w:tc>
        <w:tc>
          <w:tcPr>
            <w:tcW w:w="850" w:type="dxa"/>
            <w:shd w:val="clear" w:color="auto" w:fill="FFFFFF" w:themeFill="background1"/>
            <w:vAlign w:val="center"/>
          </w:tcPr>
          <w:p w14:paraId="2F3252A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9.073</w:t>
            </w:r>
          </w:p>
        </w:tc>
        <w:tc>
          <w:tcPr>
            <w:tcW w:w="1134" w:type="dxa"/>
            <w:shd w:val="clear" w:color="auto" w:fill="FFFFFF" w:themeFill="background1"/>
            <w:vAlign w:val="center"/>
          </w:tcPr>
          <w:p w14:paraId="3899A6B0"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61D9ECC2"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02544E86"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 xml:space="preserve">Repair and </w:t>
            </w:r>
            <w:proofErr w:type="spellStart"/>
            <w:r w:rsidRPr="002E6C29">
              <w:rPr>
                <w:rFonts w:eastAsia="新細明體" w:cs="Calibri"/>
                <w:color w:val="000000"/>
                <w:kern w:val="0"/>
                <w:sz w:val="18"/>
                <w:szCs w:val="18"/>
                <w14:ligatures w14:val="none"/>
              </w:rPr>
              <w:t>Maintainance</w:t>
            </w:r>
            <w:proofErr w:type="spellEnd"/>
            <w:r w:rsidRPr="002E6C29">
              <w:rPr>
                <w:rFonts w:eastAsia="新細明體" w:cs="Calibri"/>
                <w:color w:val="000000"/>
                <w:kern w:val="0"/>
                <w:sz w:val="18"/>
                <w:szCs w:val="18"/>
                <w14:ligatures w14:val="none"/>
              </w:rPr>
              <w:t xml:space="preserve"> cost</w:t>
            </w:r>
          </w:p>
        </w:tc>
        <w:tc>
          <w:tcPr>
            <w:tcW w:w="1276" w:type="dxa"/>
            <w:shd w:val="clear" w:color="auto" w:fill="FFFFFF" w:themeFill="background1"/>
            <w:noWrap/>
            <w:vAlign w:val="center"/>
            <w:hideMark/>
          </w:tcPr>
          <w:p w14:paraId="775525F2"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18890.76</w:t>
            </w:r>
          </w:p>
        </w:tc>
        <w:tc>
          <w:tcPr>
            <w:tcW w:w="1134" w:type="dxa"/>
            <w:shd w:val="clear" w:color="auto" w:fill="FFFFFF" w:themeFill="background1"/>
            <w:vAlign w:val="center"/>
          </w:tcPr>
          <w:p w14:paraId="189DA8C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0.788</w:t>
            </w:r>
          </w:p>
        </w:tc>
        <w:tc>
          <w:tcPr>
            <w:tcW w:w="1276" w:type="dxa"/>
            <w:shd w:val="clear" w:color="auto" w:fill="FFFFFF" w:themeFill="background1"/>
            <w:vAlign w:val="center"/>
          </w:tcPr>
          <w:p w14:paraId="735FDDFC"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18890.76</w:t>
            </w:r>
          </w:p>
        </w:tc>
        <w:tc>
          <w:tcPr>
            <w:tcW w:w="850" w:type="dxa"/>
            <w:shd w:val="clear" w:color="auto" w:fill="FFFFFF" w:themeFill="background1"/>
            <w:vAlign w:val="center"/>
          </w:tcPr>
          <w:p w14:paraId="3FD3FFA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0.788</w:t>
            </w:r>
          </w:p>
        </w:tc>
        <w:tc>
          <w:tcPr>
            <w:tcW w:w="1134" w:type="dxa"/>
            <w:shd w:val="clear" w:color="auto" w:fill="FFFFFF" w:themeFill="background1"/>
            <w:vAlign w:val="center"/>
          </w:tcPr>
          <w:p w14:paraId="4302EA0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15C23E5E"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005CA7DF"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Management cost</w:t>
            </w:r>
          </w:p>
        </w:tc>
        <w:tc>
          <w:tcPr>
            <w:tcW w:w="1276" w:type="dxa"/>
            <w:shd w:val="clear" w:color="auto" w:fill="FFFFFF" w:themeFill="background1"/>
            <w:noWrap/>
            <w:vAlign w:val="center"/>
            <w:hideMark/>
          </w:tcPr>
          <w:p w14:paraId="7DA0BDDF"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28704.57</w:t>
            </w:r>
          </w:p>
        </w:tc>
        <w:tc>
          <w:tcPr>
            <w:tcW w:w="1134" w:type="dxa"/>
            <w:shd w:val="clear" w:color="auto" w:fill="FFFFFF" w:themeFill="background1"/>
            <w:vAlign w:val="center"/>
          </w:tcPr>
          <w:p w14:paraId="1AA1062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1.198</w:t>
            </w:r>
          </w:p>
        </w:tc>
        <w:tc>
          <w:tcPr>
            <w:tcW w:w="1276" w:type="dxa"/>
            <w:shd w:val="clear" w:color="auto" w:fill="FFFFFF" w:themeFill="background1"/>
            <w:vAlign w:val="center"/>
          </w:tcPr>
          <w:p w14:paraId="2E74FA6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28704.57</w:t>
            </w:r>
          </w:p>
        </w:tc>
        <w:tc>
          <w:tcPr>
            <w:tcW w:w="850" w:type="dxa"/>
            <w:shd w:val="clear" w:color="auto" w:fill="FFFFFF" w:themeFill="background1"/>
            <w:vAlign w:val="center"/>
          </w:tcPr>
          <w:p w14:paraId="58B80AA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1.198</w:t>
            </w:r>
          </w:p>
        </w:tc>
        <w:tc>
          <w:tcPr>
            <w:tcW w:w="1134" w:type="dxa"/>
            <w:shd w:val="clear" w:color="auto" w:fill="FFFFFF" w:themeFill="background1"/>
            <w:vAlign w:val="center"/>
          </w:tcPr>
          <w:p w14:paraId="277D8774"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0F3FA6B6"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57DF4BBA"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kern w:val="0"/>
                <w:sz w:val="18"/>
                <w:szCs w:val="18"/>
                <w14:ligatures w14:val="none"/>
              </w:rPr>
              <w:t>Voyage cost ship</w:t>
            </w:r>
          </w:p>
        </w:tc>
        <w:tc>
          <w:tcPr>
            <w:tcW w:w="1276" w:type="dxa"/>
            <w:noWrap/>
            <w:vAlign w:val="center"/>
            <w:hideMark/>
          </w:tcPr>
          <w:p w14:paraId="2C690586"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7626546.21</w:t>
            </w:r>
          </w:p>
        </w:tc>
        <w:tc>
          <w:tcPr>
            <w:tcW w:w="1134" w:type="dxa"/>
            <w:vAlign w:val="center"/>
          </w:tcPr>
          <w:p w14:paraId="5405AF2F"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318.250</w:t>
            </w:r>
          </w:p>
        </w:tc>
        <w:tc>
          <w:tcPr>
            <w:tcW w:w="1276" w:type="dxa"/>
            <w:vAlign w:val="center"/>
          </w:tcPr>
          <w:p w14:paraId="791E7F2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7212928.89</w:t>
            </w:r>
          </w:p>
        </w:tc>
        <w:tc>
          <w:tcPr>
            <w:tcW w:w="850" w:type="dxa"/>
            <w:vAlign w:val="center"/>
          </w:tcPr>
          <w:p w14:paraId="2201F123" w14:textId="77777777" w:rsidR="00E87A4F" w:rsidRPr="00864C4F" w:rsidRDefault="00E87A4F" w:rsidP="00477688">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300.990</w:t>
            </w:r>
          </w:p>
        </w:tc>
        <w:tc>
          <w:tcPr>
            <w:tcW w:w="1134" w:type="dxa"/>
            <w:vAlign w:val="center"/>
          </w:tcPr>
          <w:p w14:paraId="3F8C9512" w14:textId="77777777" w:rsidR="00E87A4F" w:rsidRPr="00864C4F" w:rsidRDefault="00E87A4F" w:rsidP="00477688">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-0.054</w:t>
            </w:r>
          </w:p>
        </w:tc>
      </w:tr>
      <w:tr w:rsidR="00E87A4F" w:rsidRPr="00864C4F" w14:paraId="61B73734"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17EB5F6C"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Fuel cost ship in Port</w:t>
            </w:r>
          </w:p>
        </w:tc>
        <w:tc>
          <w:tcPr>
            <w:tcW w:w="1276" w:type="dxa"/>
            <w:shd w:val="clear" w:color="auto" w:fill="FFFFFF" w:themeFill="background1"/>
            <w:noWrap/>
            <w:vAlign w:val="center"/>
            <w:hideMark/>
          </w:tcPr>
          <w:p w14:paraId="3BB87AC4"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202937.41</w:t>
            </w:r>
          </w:p>
        </w:tc>
        <w:tc>
          <w:tcPr>
            <w:tcW w:w="1134" w:type="dxa"/>
            <w:shd w:val="clear" w:color="auto" w:fill="FFFFFF" w:themeFill="background1"/>
            <w:vAlign w:val="center"/>
          </w:tcPr>
          <w:p w14:paraId="2F4A847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8.468</w:t>
            </w:r>
          </w:p>
        </w:tc>
        <w:tc>
          <w:tcPr>
            <w:tcW w:w="1276" w:type="dxa"/>
            <w:shd w:val="clear" w:color="auto" w:fill="FFFFFF" w:themeFill="background1"/>
            <w:vAlign w:val="center"/>
          </w:tcPr>
          <w:p w14:paraId="58C8020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202937.41</w:t>
            </w:r>
          </w:p>
        </w:tc>
        <w:tc>
          <w:tcPr>
            <w:tcW w:w="850" w:type="dxa"/>
            <w:shd w:val="clear" w:color="auto" w:fill="FFFFFF" w:themeFill="background1"/>
            <w:vAlign w:val="center"/>
          </w:tcPr>
          <w:p w14:paraId="0C037123"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8.468</w:t>
            </w:r>
          </w:p>
        </w:tc>
        <w:tc>
          <w:tcPr>
            <w:tcW w:w="1134" w:type="dxa"/>
            <w:shd w:val="clear" w:color="auto" w:fill="FFFFFF" w:themeFill="background1"/>
            <w:vAlign w:val="center"/>
          </w:tcPr>
          <w:p w14:paraId="7B17F8F8"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0.070</w:t>
            </w:r>
          </w:p>
        </w:tc>
      </w:tr>
      <w:tr w:rsidR="00E87A4F" w:rsidRPr="00864C4F" w14:paraId="5372D953"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4CCDC27F"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Fuel cost ship ECA</w:t>
            </w:r>
          </w:p>
        </w:tc>
        <w:tc>
          <w:tcPr>
            <w:tcW w:w="1276" w:type="dxa"/>
            <w:shd w:val="clear" w:color="auto" w:fill="FFFFFF" w:themeFill="background1"/>
            <w:noWrap/>
            <w:vAlign w:val="center"/>
            <w:hideMark/>
          </w:tcPr>
          <w:p w14:paraId="0CAB5E9A"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473412.93</w:t>
            </w:r>
          </w:p>
        </w:tc>
        <w:tc>
          <w:tcPr>
            <w:tcW w:w="1134" w:type="dxa"/>
            <w:shd w:val="clear" w:color="auto" w:fill="FFFFFF" w:themeFill="background1"/>
            <w:vAlign w:val="center"/>
          </w:tcPr>
          <w:p w14:paraId="2558F2F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19.755</w:t>
            </w:r>
          </w:p>
        </w:tc>
        <w:tc>
          <w:tcPr>
            <w:tcW w:w="1276" w:type="dxa"/>
            <w:shd w:val="clear" w:color="auto" w:fill="FFFFFF" w:themeFill="background1"/>
            <w:vAlign w:val="center"/>
          </w:tcPr>
          <w:p w14:paraId="606DD05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473412.93</w:t>
            </w:r>
          </w:p>
        </w:tc>
        <w:tc>
          <w:tcPr>
            <w:tcW w:w="850" w:type="dxa"/>
            <w:shd w:val="clear" w:color="auto" w:fill="FFFFFF" w:themeFill="background1"/>
            <w:vAlign w:val="center"/>
          </w:tcPr>
          <w:p w14:paraId="6FDE4E94"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19.755</w:t>
            </w:r>
          </w:p>
        </w:tc>
        <w:tc>
          <w:tcPr>
            <w:tcW w:w="1134" w:type="dxa"/>
            <w:shd w:val="clear" w:color="auto" w:fill="FFFFFF" w:themeFill="background1"/>
            <w:vAlign w:val="center"/>
          </w:tcPr>
          <w:p w14:paraId="3E796DB7"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2.652</w:t>
            </w:r>
          </w:p>
        </w:tc>
      </w:tr>
      <w:tr w:rsidR="00E87A4F" w:rsidRPr="00864C4F" w14:paraId="054DEADC"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780828CE"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Fuel cost ship Non ECA</w:t>
            </w:r>
          </w:p>
        </w:tc>
        <w:tc>
          <w:tcPr>
            <w:tcW w:w="1276" w:type="dxa"/>
            <w:shd w:val="clear" w:color="auto" w:fill="FFFFFF" w:themeFill="background1"/>
            <w:noWrap/>
            <w:vAlign w:val="center"/>
            <w:hideMark/>
          </w:tcPr>
          <w:p w14:paraId="6C125700"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4454960.32</w:t>
            </w:r>
          </w:p>
        </w:tc>
        <w:tc>
          <w:tcPr>
            <w:tcW w:w="1134" w:type="dxa"/>
            <w:shd w:val="clear" w:color="auto" w:fill="FFFFFF" w:themeFill="background1"/>
            <w:vAlign w:val="center"/>
          </w:tcPr>
          <w:p w14:paraId="16A0980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185.902</w:t>
            </w:r>
          </w:p>
        </w:tc>
        <w:tc>
          <w:tcPr>
            <w:tcW w:w="1276" w:type="dxa"/>
            <w:shd w:val="clear" w:color="auto" w:fill="FFFFFF" w:themeFill="background1"/>
            <w:vAlign w:val="center"/>
          </w:tcPr>
          <w:p w14:paraId="29F6311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4454960.32</w:t>
            </w:r>
          </w:p>
        </w:tc>
        <w:tc>
          <w:tcPr>
            <w:tcW w:w="850" w:type="dxa"/>
            <w:shd w:val="clear" w:color="auto" w:fill="FFFFFF" w:themeFill="background1"/>
            <w:vAlign w:val="center"/>
          </w:tcPr>
          <w:p w14:paraId="64C54D2A"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185.902</w:t>
            </w:r>
          </w:p>
        </w:tc>
        <w:tc>
          <w:tcPr>
            <w:tcW w:w="1134" w:type="dxa"/>
            <w:shd w:val="clear" w:color="auto" w:fill="FFFFFF" w:themeFill="background1"/>
            <w:vAlign w:val="center"/>
          </w:tcPr>
          <w:p w14:paraId="002E24FF"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4.475</w:t>
            </w:r>
          </w:p>
        </w:tc>
      </w:tr>
      <w:tr w:rsidR="00E87A4F" w:rsidRPr="00864C4F" w14:paraId="095C8887"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1937B173" w14:textId="77777777" w:rsidR="00E87A4F" w:rsidRPr="002E6C29" w:rsidRDefault="00E87A4F" w:rsidP="00477688">
            <w:pPr>
              <w:widowControl/>
              <w:jc w:val="center"/>
              <w:rPr>
                <w:rFonts w:eastAsia="新細明體" w:cs="Calibri"/>
                <w:color w:val="000000"/>
                <w:kern w:val="0"/>
                <w:sz w:val="18"/>
                <w:szCs w:val="18"/>
                <w14:ligatures w14:val="none"/>
              </w:rPr>
            </w:pPr>
            <w:proofErr w:type="spellStart"/>
            <w:r w:rsidRPr="002E6C29">
              <w:rPr>
                <w:rFonts w:eastAsia="新細明體" w:cs="Calibri"/>
                <w:color w:val="000000"/>
                <w:kern w:val="0"/>
                <w:sz w:val="18"/>
                <w:szCs w:val="18"/>
                <w14:ligatures w14:val="none"/>
              </w:rPr>
              <w:t>Lub</w:t>
            </w:r>
            <w:proofErr w:type="spellEnd"/>
            <w:r w:rsidRPr="002E6C29">
              <w:rPr>
                <w:rFonts w:eastAsia="新細明體" w:cs="Calibri"/>
                <w:color w:val="000000"/>
                <w:kern w:val="0"/>
                <w:sz w:val="18"/>
                <w:szCs w:val="18"/>
                <w14:ligatures w14:val="none"/>
              </w:rPr>
              <w:t xml:space="preserve"> oil cost ship</w:t>
            </w:r>
          </w:p>
        </w:tc>
        <w:tc>
          <w:tcPr>
            <w:tcW w:w="1276" w:type="dxa"/>
            <w:shd w:val="clear" w:color="auto" w:fill="FFFFFF" w:themeFill="background1"/>
            <w:noWrap/>
            <w:vAlign w:val="center"/>
            <w:hideMark/>
          </w:tcPr>
          <w:p w14:paraId="089F3B1E"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27717.86</w:t>
            </w:r>
          </w:p>
        </w:tc>
        <w:tc>
          <w:tcPr>
            <w:tcW w:w="1134" w:type="dxa"/>
            <w:shd w:val="clear" w:color="auto" w:fill="FFFFFF" w:themeFill="background1"/>
            <w:vAlign w:val="center"/>
          </w:tcPr>
          <w:p w14:paraId="5FABB33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1.157</w:t>
            </w:r>
          </w:p>
        </w:tc>
        <w:tc>
          <w:tcPr>
            <w:tcW w:w="1276" w:type="dxa"/>
            <w:shd w:val="clear" w:color="auto" w:fill="FFFFFF" w:themeFill="background1"/>
            <w:vAlign w:val="center"/>
          </w:tcPr>
          <w:p w14:paraId="590842B4"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27717.86</w:t>
            </w:r>
          </w:p>
        </w:tc>
        <w:tc>
          <w:tcPr>
            <w:tcW w:w="850" w:type="dxa"/>
            <w:shd w:val="clear" w:color="auto" w:fill="FFFFFF" w:themeFill="background1"/>
            <w:vAlign w:val="center"/>
          </w:tcPr>
          <w:p w14:paraId="2CF3C83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1.157</w:t>
            </w:r>
          </w:p>
        </w:tc>
        <w:tc>
          <w:tcPr>
            <w:tcW w:w="1134" w:type="dxa"/>
            <w:shd w:val="clear" w:color="auto" w:fill="FFFFFF" w:themeFill="background1"/>
            <w:vAlign w:val="center"/>
          </w:tcPr>
          <w:p w14:paraId="1F548AC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64935ED5"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3DEE582B"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Cannel cost ship</w:t>
            </w:r>
          </w:p>
        </w:tc>
        <w:tc>
          <w:tcPr>
            <w:tcW w:w="1276" w:type="dxa"/>
            <w:shd w:val="clear" w:color="auto" w:fill="FFFFFF" w:themeFill="background1"/>
            <w:noWrap/>
            <w:vAlign w:val="center"/>
            <w:hideMark/>
          </w:tcPr>
          <w:p w14:paraId="7BB93B24"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2053900.37</w:t>
            </w:r>
          </w:p>
        </w:tc>
        <w:tc>
          <w:tcPr>
            <w:tcW w:w="1134" w:type="dxa"/>
            <w:shd w:val="clear" w:color="auto" w:fill="FFFFFF" w:themeFill="background1"/>
            <w:vAlign w:val="center"/>
          </w:tcPr>
          <w:p w14:paraId="0C1EC5E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85.708</w:t>
            </w:r>
          </w:p>
        </w:tc>
        <w:tc>
          <w:tcPr>
            <w:tcW w:w="1276" w:type="dxa"/>
            <w:shd w:val="clear" w:color="auto" w:fill="FFFFFF" w:themeFill="background1"/>
            <w:vAlign w:val="center"/>
          </w:tcPr>
          <w:p w14:paraId="139AB8BD"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2053900.37</w:t>
            </w:r>
          </w:p>
        </w:tc>
        <w:tc>
          <w:tcPr>
            <w:tcW w:w="850" w:type="dxa"/>
            <w:shd w:val="clear" w:color="auto" w:fill="FFFFFF" w:themeFill="background1"/>
            <w:vAlign w:val="center"/>
          </w:tcPr>
          <w:p w14:paraId="31ADD64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85.708</w:t>
            </w:r>
          </w:p>
        </w:tc>
        <w:tc>
          <w:tcPr>
            <w:tcW w:w="1134" w:type="dxa"/>
            <w:shd w:val="clear" w:color="auto" w:fill="FFFFFF" w:themeFill="background1"/>
            <w:vAlign w:val="center"/>
          </w:tcPr>
          <w:p w14:paraId="7501E3F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6782B5FF"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04AA04FF"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ETS cost ship</w:t>
            </w:r>
          </w:p>
        </w:tc>
        <w:tc>
          <w:tcPr>
            <w:tcW w:w="1276" w:type="dxa"/>
            <w:shd w:val="clear" w:color="auto" w:fill="FFFFFF" w:themeFill="background1"/>
            <w:noWrap/>
            <w:vAlign w:val="center"/>
            <w:hideMark/>
          </w:tcPr>
          <w:p w14:paraId="098E6888"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413617.32</w:t>
            </w:r>
          </w:p>
        </w:tc>
        <w:tc>
          <w:tcPr>
            <w:tcW w:w="1134" w:type="dxa"/>
            <w:shd w:val="clear" w:color="auto" w:fill="FFFFFF" w:themeFill="background1"/>
            <w:vAlign w:val="center"/>
          </w:tcPr>
          <w:p w14:paraId="374CDE3B"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17.260</w:t>
            </w:r>
          </w:p>
        </w:tc>
        <w:tc>
          <w:tcPr>
            <w:tcW w:w="1276" w:type="dxa"/>
            <w:shd w:val="clear" w:color="auto" w:fill="FFFFFF" w:themeFill="background1"/>
            <w:vAlign w:val="center"/>
          </w:tcPr>
          <w:p w14:paraId="1AF6597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w:t>
            </w:r>
          </w:p>
        </w:tc>
        <w:tc>
          <w:tcPr>
            <w:tcW w:w="850" w:type="dxa"/>
            <w:shd w:val="clear" w:color="auto" w:fill="FFFFFF" w:themeFill="background1"/>
            <w:vAlign w:val="center"/>
          </w:tcPr>
          <w:p w14:paraId="77D24659"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w:t>
            </w:r>
          </w:p>
        </w:tc>
        <w:tc>
          <w:tcPr>
            <w:tcW w:w="1134" w:type="dxa"/>
            <w:shd w:val="clear" w:color="auto" w:fill="FFFFFF" w:themeFill="background1"/>
            <w:vAlign w:val="center"/>
          </w:tcPr>
          <w:p w14:paraId="58E1BFAA"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230AB751"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1C8CDE4A"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External cost at sea</w:t>
            </w:r>
          </w:p>
        </w:tc>
        <w:tc>
          <w:tcPr>
            <w:tcW w:w="1276" w:type="dxa"/>
            <w:shd w:val="clear" w:color="auto" w:fill="FFFFFF" w:themeFill="background1"/>
            <w:noWrap/>
            <w:vAlign w:val="center"/>
            <w:hideMark/>
          </w:tcPr>
          <w:p w14:paraId="633890E0"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w:t>
            </w:r>
          </w:p>
        </w:tc>
        <w:tc>
          <w:tcPr>
            <w:tcW w:w="1134" w:type="dxa"/>
            <w:shd w:val="clear" w:color="auto" w:fill="FFFFFF" w:themeFill="background1"/>
            <w:vAlign w:val="center"/>
          </w:tcPr>
          <w:p w14:paraId="0C1AD2F8"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p>
        </w:tc>
        <w:tc>
          <w:tcPr>
            <w:tcW w:w="1276" w:type="dxa"/>
            <w:shd w:val="clear" w:color="auto" w:fill="FFFFFF" w:themeFill="background1"/>
            <w:vAlign w:val="center"/>
          </w:tcPr>
          <w:p w14:paraId="7C1C35A7"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w:t>
            </w:r>
          </w:p>
        </w:tc>
        <w:tc>
          <w:tcPr>
            <w:tcW w:w="850" w:type="dxa"/>
            <w:shd w:val="clear" w:color="auto" w:fill="FFFFFF" w:themeFill="background1"/>
            <w:vAlign w:val="center"/>
          </w:tcPr>
          <w:p w14:paraId="6143456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p>
        </w:tc>
        <w:tc>
          <w:tcPr>
            <w:tcW w:w="1134" w:type="dxa"/>
            <w:shd w:val="clear" w:color="auto" w:fill="FFFFFF" w:themeFill="background1"/>
            <w:vAlign w:val="center"/>
          </w:tcPr>
          <w:p w14:paraId="6CCA2C19"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p>
        </w:tc>
      </w:tr>
      <w:tr w:rsidR="00E87A4F" w:rsidRPr="00864C4F" w14:paraId="58497384"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6D275831"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kern w:val="0"/>
                <w:sz w:val="18"/>
                <w:szCs w:val="18"/>
                <w14:ligatures w14:val="none"/>
              </w:rPr>
              <w:lastRenderedPageBreak/>
              <w:t>Port cost</w:t>
            </w:r>
          </w:p>
        </w:tc>
        <w:tc>
          <w:tcPr>
            <w:tcW w:w="1276" w:type="dxa"/>
            <w:noWrap/>
            <w:vAlign w:val="center"/>
            <w:hideMark/>
          </w:tcPr>
          <w:p w14:paraId="196F51BB"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134" w:type="dxa"/>
            <w:vAlign w:val="center"/>
          </w:tcPr>
          <w:p w14:paraId="5E9F2535"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276" w:type="dxa"/>
            <w:vAlign w:val="center"/>
          </w:tcPr>
          <w:p w14:paraId="1A635DE3"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850" w:type="dxa"/>
            <w:vAlign w:val="center"/>
          </w:tcPr>
          <w:p w14:paraId="71159C10"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c>
          <w:tcPr>
            <w:tcW w:w="1134" w:type="dxa"/>
            <w:vAlign w:val="center"/>
          </w:tcPr>
          <w:p w14:paraId="65110068"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Times New Roman" w:cs="Calibri"/>
                <w:kern w:val="0"/>
                <w:sz w:val="18"/>
                <w:szCs w:val="18"/>
                <w14:ligatures w14:val="none"/>
              </w:rPr>
            </w:pPr>
          </w:p>
        </w:tc>
      </w:tr>
      <w:tr w:rsidR="00E87A4F" w:rsidRPr="00864C4F" w14:paraId="47178686"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14E171B6"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Total port charges</w:t>
            </w:r>
          </w:p>
        </w:tc>
        <w:tc>
          <w:tcPr>
            <w:tcW w:w="1276" w:type="dxa"/>
            <w:shd w:val="clear" w:color="auto" w:fill="FFFFFF" w:themeFill="background1"/>
            <w:noWrap/>
            <w:vAlign w:val="center"/>
            <w:hideMark/>
          </w:tcPr>
          <w:p w14:paraId="27D41608"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1302973.74</w:t>
            </w:r>
          </w:p>
        </w:tc>
        <w:tc>
          <w:tcPr>
            <w:tcW w:w="1134" w:type="dxa"/>
            <w:shd w:val="clear" w:color="auto" w:fill="FFFFFF" w:themeFill="background1"/>
            <w:vAlign w:val="center"/>
          </w:tcPr>
          <w:p w14:paraId="0E5DEC4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54.372</w:t>
            </w:r>
          </w:p>
        </w:tc>
        <w:tc>
          <w:tcPr>
            <w:tcW w:w="1276" w:type="dxa"/>
            <w:shd w:val="clear" w:color="auto" w:fill="FFFFFF" w:themeFill="background1"/>
            <w:vAlign w:val="center"/>
          </w:tcPr>
          <w:p w14:paraId="443D27B2"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1302973.74</w:t>
            </w:r>
          </w:p>
        </w:tc>
        <w:tc>
          <w:tcPr>
            <w:tcW w:w="850" w:type="dxa"/>
            <w:shd w:val="clear" w:color="auto" w:fill="FFFFFF" w:themeFill="background1"/>
            <w:vAlign w:val="center"/>
          </w:tcPr>
          <w:p w14:paraId="7928A656"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54.372</w:t>
            </w:r>
          </w:p>
        </w:tc>
        <w:tc>
          <w:tcPr>
            <w:tcW w:w="1134" w:type="dxa"/>
            <w:shd w:val="clear" w:color="auto" w:fill="FFFFFF" w:themeFill="background1"/>
            <w:vAlign w:val="center"/>
          </w:tcPr>
          <w:p w14:paraId="278226C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6D71F9FD"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shd w:val="clear" w:color="auto" w:fill="FFFFFF" w:themeFill="background1"/>
            <w:noWrap/>
            <w:vAlign w:val="center"/>
            <w:hideMark/>
          </w:tcPr>
          <w:p w14:paraId="6C90ACC7" w14:textId="77777777" w:rsidR="00E87A4F" w:rsidRPr="002E6C29" w:rsidRDefault="00E87A4F" w:rsidP="00477688">
            <w:pPr>
              <w:widowControl/>
              <w:jc w:val="center"/>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Port handling cost</w:t>
            </w:r>
          </w:p>
        </w:tc>
        <w:tc>
          <w:tcPr>
            <w:tcW w:w="1276" w:type="dxa"/>
            <w:shd w:val="clear" w:color="auto" w:fill="FFFFFF" w:themeFill="background1"/>
            <w:noWrap/>
            <w:vAlign w:val="center"/>
            <w:hideMark/>
          </w:tcPr>
          <w:p w14:paraId="05412FEE"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7403357.85</w:t>
            </w:r>
          </w:p>
        </w:tc>
        <w:tc>
          <w:tcPr>
            <w:tcW w:w="1134" w:type="dxa"/>
            <w:shd w:val="clear" w:color="auto" w:fill="FFFFFF" w:themeFill="background1"/>
            <w:vAlign w:val="center"/>
          </w:tcPr>
          <w:p w14:paraId="30D864A6"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276" w:type="dxa"/>
            <w:shd w:val="clear" w:color="auto" w:fill="FFFFFF" w:themeFill="background1"/>
            <w:vAlign w:val="center"/>
          </w:tcPr>
          <w:p w14:paraId="789A0E1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7403357.85</w:t>
            </w:r>
          </w:p>
        </w:tc>
        <w:tc>
          <w:tcPr>
            <w:tcW w:w="850" w:type="dxa"/>
            <w:shd w:val="clear" w:color="auto" w:fill="FFFFFF" w:themeFill="background1"/>
            <w:vAlign w:val="center"/>
          </w:tcPr>
          <w:p w14:paraId="491A933E"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134" w:type="dxa"/>
            <w:shd w:val="clear" w:color="auto" w:fill="FFFFFF" w:themeFill="background1"/>
            <w:vAlign w:val="center"/>
          </w:tcPr>
          <w:p w14:paraId="1B8F8F1D"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15029937"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4890506D" w14:textId="77777777" w:rsidR="00E87A4F" w:rsidRPr="00864C4F" w:rsidRDefault="00E87A4F" w:rsidP="00477688">
            <w:pPr>
              <w:widowControl/>
              <w:jc w:val="center"/>
              <w:rPr>
                <w:rFonts w:eastAsia="新細明體" w:cs="Calibri"/>
                <w:b w:val="0"/>
                <w:bCs w:val="0"/>
                <w:kern w:val="0"/>
                <w:sz w:val="18"/>
                <w:szCs w:val="18"/>
                <w14:ligatures w14:val="none"/>
              </w:rPr>
            </w:pPr>
            <w:r w:rsidRPr="002E6C29">
              <w:rPr>
                <w:rFonts w:eastAsia="新細明體" w:cs="Calibri"/>
                <w:kern w:val="0"/>
                <w:sz w:val="18"/>
                <w:szCs w:val="18"/>
                <w14:ligatures w14:val="none"/>
              </w:rPr>
              <w:t>Total variable cost ship per loop</w:t>
            </w:r>
          </w:p>
          <w:p w14:paraId="636A46A1"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(including port charges)</w:t>
            </w:r>
          </w:p>
        </w:tc>
        <w:tc>
          <w:tcPr>
            <w:tcW w:w="1276" w:type="dxa"/>
            <w:noWrap/>
            <w:vAlign w:val="center"/>
            <w:hideMark/>
          </w:tcPr>
          <w:p w14:paraId="7F2470F1"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9410456.3</w:t>
            </w:r>
          </w:p>
        </w:tc>
        <w:tc>
          <w:tcPr>
            <w:tcW w:w="1134" w:type="dxa"/>
            <w:vAlign w:val="center"/>
          </w:tcPr>
          <w:p w14:paraId="340DC151"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392.691</w:t>
            </w:r>
          </w:p>
        </w:tc>
        <w:tc>
          <w:tcPr>
            <w:tcW w:w="1276" w:type="dxa"/>
            <w:vAlign w:val="center"/>
          </w:tcPr>
          <w:p w14:paraId="0EBE0C5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8996838.98</w:t>
            </w:r>
          </w:p>
        </w:tc>
        <w:tc>
          <w:tcPr>
            <w:tcW w:w="850" w:type="dxa"/>
            <w:vAlign w:val="center"/>
          </w:tcPr>
          <w:p w14:paraId="2BEBCC6E"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392.691</w:t>
            </w:r>
          </w:p>
        </w:tc>
        <w:tc>
          <w:tcPr>
            <w:tcW w:w="1134" w:type="dxa"/>
            <w:vAlign w:val="center"/>
          </w:tcPr>
          <w:p w14:paraId="100E709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7128C55D"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1FBCA195"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Fixed cost ship per loop</w:t>
            </w:r>
          </w:p>
        </w:tc>
        <w:tc>
          <w:tcPr>
            <w:tcW w:w="1276" w:type="dxa"/>
            <w:noWrap/>
            <w:vAlign w:val="center"/>
            <w:hideMark/>
          </w:tcPr>
          <w:p w14:paraId="228F995D"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3977508.98</w:t>
            </w:r>
          </w:p>
        </w:tc>
        <w:tc>
          <w:tcPr>
            <w:tcW w:w="1134" w:type="dxa"/>
            <w:vAlign w:val="center"/>
          </w:tcPr>
          <w:p w14:paraId="79FB3C27"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165.979</w:t>
            </w:r>
          </w:p>
        </w:tc>
        <w:tc>
          <w:tcPr>
            <w:tcW w:w="1276" w:type="dxa"/>
            <w:vAlign w:val="center"/>
          </w:tcPr>
          <w:p w14:paraId="363FAD4A"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3977508.98</w:t>
            </w:r>
          </w:p>
        </w:tc>
        <w:tc>
          <w:tcPr>
            <w:tcW w:w="850" w:type="dxa"/>
            <w:vAlign w:val="center"/>
          </w:tcPr>
          <w:p w14:paraId="43E7B2F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165.979</w:t>
            </w:r>
          </w:p>
        </w:tc>
        <w:tc>
          <w:tcPr>
            <w:tcW w:w="1134" w:type="dxa"/>
            <w:vAlign w:val="center"/>
          </w:tcPr>
          <w:p w14:paraId="2AC8B732"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07C1DB7D" w14:textId="77777777" w:rsidTr="0047768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44287693"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Total port handling cost per loop</w:t>
            </w:r>
          </w:p>
        </w:tc>
        <w:tc>
          <w:tcPr>
            <w:tcW w:w="1276" w:type="dxa"/>
            <w:noWrap/>
            <w:vAlign w:val="center"/>
            <w:hideMark/>
          </w:tcPr>
          <w:p w14:paraId="5F59AD8F" w14:textId="77777777" w:rsidR="00E87A4F" w:rsidRPr="002E6C29"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2E6C29">
              <w:rPr>
                <w:rFonts w:eastAsia="新細明體" w:cs="Calibri"/>
                <w:color w:val="000000"/>
                <w:kern w:val="0"/>
                <w:sz w:val="18"/>
                <w:szCs w:val="18"/>
                <w14:ligatures w14:val="none"/>
              </w:rPr>
              <w:t>7403357.85</w:t>
            </w:r>
          </w:p>
        </w:tc>
        <w:tc>
          <w:tcPr>
            <w:tcW w:w="1134" w:type="dxa"/>
            <w:vAlign w:val="center"/>
          </w:tcPr>
          <w:p w14:paraId="0E641DB8"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276" w:type="dxa"/>
            <w:vAlign w:val="center"/>
          </w:tcPr>
          <w:p w14:paraId="31D4DC5C"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eastAsia="新細明體" w:cs="Calibri"/>
                <w:color w:val="000000"/>
                <w:kern w:val="0"/>
                <w:sz w:val="18"/>
                <w:szCs w:val="18"/>
                <w14:ligatures w14:val="none"/>
              </w:rPr>
            </w:pPr>
            <w:r w:rsidRPr="00864C4F">
              <w:rPr>
                <w:rFonts w:cs="Calibri"/>
                <w:color w:val="000000"/>
                <w:sz w:val="18"/>
                <w:szCs w:val="18"/>
              </w:rPr>
              <w:t>7403357.85</w:t>
            </w:r>
          </w:p>
        </w:tc>
        <w:tc>
          <w:tcPr>
            <w:tcW w:w="850" w:type="dxa"/>
            <w:vAlign w:val="center"/>
          </w:tcPr>
          <w:p w14:paraId="4E1677F5"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308.937</w:t>
            </w:r>
          </w:p>
        </w:tc>
        <w:tc>
          <w:tcPr>
            <w:tcW w:w="1134" w:type="dxa"/>
            <w:vAlign w:val="center"/>
          </w:tcPr>
          <w:p w14:paraId="4F04D73B" w14:textId="77777777" w:rsidR="00E87A4F" w:rsidRPr="00864C4F" w:rsidRDefault="00E87A4F" w:rsidP="00477688">
            <w:pPr>
              <w:widowControl/>
              <w:jc w:val="center"/>
              <w:cnfStyle w:val="000000100000" w:firstRow="0" w:lastRow="0" w:firstColumn="0" w:lastColumn="0" w:oddVBand="0" w:evenVBand="0" w:oddHBand="1" w:evenHBand="0" w:firstRowFirstColumn="0" w:firstRowLastColumn="0" w:lastRowFirstColumn="0" w:lastRowLastColumn="0"/>
              <w:rPr>
                <w:rFonts w:cs="Calibri"/>
                <w:color w:val="000000"/>
                <w:sz w:val="18"/>
                <w:szCs w:val="18"/>
              </w:rPr>
            </w:pPr>
            <w:r w:rsidRPr="00864C4F">
              <w:rPr>
                <w:rFonts w:cs="Calibri"/>
                <w:color w:val="000000"/>
                <w:sz w:val="18"/>
                <w:szCs w:val="18"/>
              </w:rPr>
              <w:t>0</w:t>
            </w:r>
          </w:p>
        </w:tc>
      </w:tr>
      <w:tr w:rsidR="00E87A4F" w:rsidRPr="00864C4F" w14:paraId="29508869" w14:textId="77777777" w:rsidTr="00477688">
        <w:trPr>
          <w:trHeight w:val="290"/>
        </w:trPr>
        <w:tc>
          <w:tcPr>
            <w:cnfStyle w:val="001000000000" w:firstRow="0" w:lastRow="0" w:firstColumn="1" w:lastColumn="0" w:oddVBand="0" w:evenVBand="0" w:oddHBand="0" w:evenHBand="0" w:firstRowFirstColumn="0" w:firstRowLastColumn="0" w:lastRowFirstColumn="0" w:lastRowLastColumn="0"/>
            <w:tcW w:w="2830" w:type="dxa"/>
            <w:noWrap/>
            <w:vAlign w:val="center"/>
            <w:hideMark/>
          </w:tcPr>
          <w:p w14:paraId="330DF0D9" w14:textId="77777777" w:rsidR="00E87A4F" w:rsidRPr="002E6C29" w:rsidRDefault="00E87A4F" w:rsidP="00477688">
            <w:pPr>
              <w:widowControl/>
              <w:jc w:val="center"/>
              <w:rPr>
                <w:rFonts w:eastAsia="新細明體" w:cs="Calibri"/>
                <w:kern w:val="0"/>
                <w:sz w:val="18"/>
                <w:szCs w:val="18"/>
                <w14:ligatures w14:val="none"/>
              </w:rPr>
            </w:pPr>
            <w:r w:rsidRPr="002E6C29">
              <w:rPr>
                <w:rFonts w:eastAsia="新細明體" w:cs="Calibri"/>
                <w:kern w:val="0"/>
                <w:sz w:val="18"/>
                <w:szCs w:val="18"/>
                <w14:ligatures w14:val="none"/>
              </w:rPr>
              <w:t>Total cost ship per loop</w:t>
            </w:r>
          </w:p>
        </w:tc>
        <w:tc>
          <w:tcPr>
            <w:tcW w:w="1276" w:type="dxa"/>
            <w:noWrap/>
            <w:vAlign w:val="center"/>
            <w:hideMark/>
          </w:tcPr>
          <w:p w14:paraId="38DD95A4" w14:textId="77777777" w:rsidR="00E87A4F" w:rsidRPr="002E6C29"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eastAsia="新細明體" w:cs="Calibri"/>
                <w:b/>
                <w:bCs/>
                <w:color w:val="000000"/>
                <w:kern w:val="0"/>
                <w:sz w:val="18"/>
                <w:szCs w:val="18"/>
                <w14:ligatures w14:val="none"/>
              </w:rPr>
            </w:pPr>
            <w:r w:rsidRPr="002E6C29">
              <w:rPr>
                <w:rFonts w:eastAsia="新細明體" w:cs="Calibri"/>
                <w:b/>
                <w:bCs/>
                <w:color w:val="000000"/>
                <w:kern w:val="0"/>
                <w:sz w:val="18"/>
                <w:szCs w:val="18"/>
                <w14:ligatures w14:val="none"/>
              </w:rPr>
              <w:t>20791323.13</w:t>
            </w:r>
          </w:p>
        </w:tc>
        <w:tc>
          <w:tcPr>
            <w:tcW w:w="1134" w:type="dxa"/>
            <w:vAlign w:val="center"/>
          </w:tcPr>
          <w:p w14:paraId="27C2822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b/>
                <w:bCs/>
                <w:color w:val="000000"/>
                <w:sz w:val="18"/>
                <w:szCs w:val="18"/>
              </w:rPr>
            </w:pPr>
            <w:r w:rsidRPr="00864C4F">
              <w:rPr>
                <w:rFonts w:cs="Calibri"/>
                <w:b/>
                <w:bCs/>
                <w:color w:val="000000"/>
                <w:sz w:val="18"/>
                <w:szCs w:val="18"/>
              </w:rPr>
              <w:t>867.607</w:t>
            </w:r>
          </w:p>
        </w:tc>
        <w:tc>
          <w:tcPr>
            <w:tcW w:w="1276" w:type="dxa"/>
            <w:vAlign w:val="center"/>
          </w:tcPr>
          <w:p w14:paraId="6C0705C0" w14:textId="77777777" w:rsidR="00E87A4F" w:rsidRPr="00864C4F" w:rsidRDefault="00E87A4F" w:rsidP="00477688">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rFonts w:cs="Calibri"/>
                <w:b/>
                <w:bCs/>
                <w:color w:val="000000"/>
                <w:sz w:val="18"/>
                <w:szCs w:val="18"/>
              </w:rPr>
            </w:pPr>
            <w:r w:rsidRPr="00864C4F">
              <w:rPr>
                <w:rFonts w:cs="Calibri"/>
                <w:b/>
                <w:bCs/>
                <w:color w:val="000000"/>
                <w:sz w:val="18"/>
                <w:szCs w:val="18"/>
              </w:rPr>
              <w:t>20377705.81</w:t>
            </w:r>
          </w:p>
        </w:tc>
        <w:tc>
          <w:tcPr>
            <w:tcW w:w="850" w:type="dxa"/>
            <w:vAlign w:val="center"/>
          </w:tcPr>
          <w:p w14:paraId="647487D1" w14:textId="77777777" w:rsidR="00E87A4F" w:rsidRPr="00864C4F" w:rsidRDefault="00E87A4F" w:rsidP="00477688">
            <w:pPr>
              <w:widowControl/>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b/>
                <w:bCs/>
                <w:color w:val="000000"/>
                <w:sz w:val="18"/>
                <w:szCs w:val="18"/>
              </w:rPr>
              <w:t>850.347</w:t>
            </w:r>
          </w:p>
        </w:tc>
        <w:tc>
          <w:tcPr>
            <w:tcW w:w="1134" w:type="dxa"/>
            <w:vAlign w:val="center"/>
          </w:tcPr>
          <w:p w14:paraId="658B3A82" w14:textId="77777777" w:rsidR="00E87A4F" w:rsidRPr="00864C4F" w:rsidRDefault="00E87A4F" w:rsidP="00477688">
            <w:pPr>
              <w:widowControl/>
              <w:spacing w:after="160" w:line="278" w:lineRule="auto"/>
              <w:jc w:val="center"/>
              <w:cnfStyle w:val="000000000000" w:firstRow="0" w:lastRow="0" w:firstColumn="0" w:lastColumn="0" w:oddVBand="0" w:evenVBand="0" w:oddHBand="0" w:evenHBand="0" w:firstRowFirstColumn="0" w:firstRowLastColumn="0" w:lastRowFirstColumn="0" w:lastRowLastColumn="0"/>
              <w:rPr>
                <w:rFonts w:cs="Calibri"/>
                <w:color w:val="000000"/>
                <w:sz w:val="18"/>
                <w:szCs w:val="18"/>
              </w:rPr>
            </w:pPr>
            <w:r w:rsidRPr="00864C4F">
              <w:rPr>
                <w:rFonts w:cs="Calibri"/>
                <w:color w:val="000000"/>
                <w:sz w:val="18"/>
                <w:szCs w:val="18"/>
              </w:rPr>
              <w:t>-0.020</w:t>
            </w:r>
          </w:p>
        </w:tc>
      </w:tr>
    </w:tbl>
    <w:p w14:paraId="118DEF4D" w14:textId="77777777" w:rsidR="00E87A4F" w:rsidRPr="00864C4F" w:rsidRDefault="00E87A4F" w:rsidP="00E87A4F">
      <w:pPr>
        <w:rPr>
          <w:rFonts w:cs="Calibri"/>
        </w:rPr>
      </w:pPr>
    </w:p>
    <w:p w14:paraId="5D17D2C9" w14:textId="77777777" w:rsidR="0002311C" w:rsidRPr="00864C4F" w:rsidRDefault="0002311C" w:rsidP="0002311C">
      <w:pPr>
        <w:rPr>
          <w:rFonts w:cs="Calibri"/>
        </w:rPr>
      </w:pPr>
    </w:p>
    <w:p w14:paraId="75FE57C3" w14:textId="77777777" w:rsidR="0002311C" w:rsidRPr="00864C4F" w:rsidRDefault="0002311C" w:rsidP="0002311C">
      <w:pPr>
        <w:rPr>
          <w:rFonts w:cs="Calibri"/>
        </w:rPr>
      </w:pPr>
    </w:p>
    <w:p w14:paraId="77362173" w14:textId="3979BF83" w:rsidR="005B3A9F" w:rsidRPr="00864C4F" w:rsidRDefault="005B3A9F" w:rsidP="005B3A9F">
      <w:pPr>
        <w:rPr>
          <w:rFonts w:cs="Calibri"/>
        </w:rPr>
      </w:pPr>
    </w:p>
    <w:sectPr w:rsidR="005B3A9F" w:rsidRPr="00864C4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3F5D1" w14:textId="77777777" w:rsidR="00227544" w:rsidRDefault="00227544" w:rsidP="00227544">
      <w:pPr>
        <w:spacing w:after="0" w:line="240" w:lineRule="auto"/>
      </w:pPr>
      <w:r>
        <w:separator/>
      </w:r>
    </w:p>
  </w:endnote>
  <w:endnote w:type="continuationSeparator" w:id="0">
    <w:p w14:paraId="0F9BD21B" w14:textId="77777777" w:rsidR="00227544" w:rsidRDefault="00227544" w:rsidP="0022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3E039" w14:textId="77777777" w:rsidR="00227544" w:rsidRDefault="00227544" w:rsidP="00227544">
      <w:pPr>
        <w:spacing w:after="0" w:line="240" w:lineRule="auto"/>
      </w:pPr>
      <w:r>
        <w:separator/>
      </w:r>
    </w:p>
  </w:footnote>
  <w:footnote w:type="continuationSeparator" w:id="0">
    <w:p w14:paraId="18EFD52D" w14:textId="77777777" w:rsidR="00227544" w:rsidRDefault="00227544" w:rsidP="00227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9213C"/>
    <w:multiLevelType w:val="hybridMultilevel"/>
    <w:tmpl w:val="ED64CB88"/>
    <w:lvl w:ilvl="0" w:tplc="737CF4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6092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EB"/>
    <w:rsid w:val="00001BDC"/>
    <w:rsid w:val="00004519"/>
    <w:rsid w:val="00004BA7"/>
    <w:rsid w:val="00012964"/>
    <w:rsid w:val="0002311C"/>
    <w:rsid w:val="000638C1"/>
    <w:rsid w:val="00077CF4"/>
    <w:rsid w:val="000919E9"/>
    <w:rsid w:val="000A5582"/>
    <w:rsid w:val="000A6234"/>
    <w:rsid w:val="000A72E9"/>
    <w:rsid w:val="000B6915"/>
    <w:rsid w:val="000C7E28"/>
    <w:rsid w:val="000D3074"/>
    <w:rsid w:val="000E5D14"/>
    <w:rsid w:val="000F173A"/>
    <w:rsid w:val="00100C6E"/>
    <w:rsid w:val="001346CD"/>
    <w:rsid w:val="00137142"/>
    <w:rsid w:val="00137E5C"/>
    <w:rsid w:val="00172DF6"/>
    <w:rsid w:val="001861C6"/>
    <w:rsid w:val="001974FA"/>
    <w:rsid w:val="001A510C"/>
    <w:rsid w:val="001C1E50"/>
    <w:rsid w:val="001F1175"/>
    <w:rsid w:val="00202817"/>
    <w:rsid w:val="0022198F"/>
    <w:rsid w:val="00226A57"/>
    <w:rsid w:val="00227544"/>
    <w:rsid w:val="00227CF4"/>
    <w:rsid w:val="002334FF"/>
    <w:rsid w:val="00235669"/>
    <w:rsid w:val="00236F33"/>
    <w:rsid w:val="002468B5"/>
    <w:rsid w:val="00260756"/>
    <w:rsid w:val="002702C2"/>
    <w:rsid w:val="0027486E"/>
    <w:rsid w:val="00277A1E"/>
    <w:rsid w:val="00281A70"/>
    <w:rsid w:val="002838FD"/>
    <w:rsid w:val="0028711D"/>
    <w:rsid w:val="002918CC"/>
    <w:rsid w:val="002B5091"/>
    <w:rsid w:val="002C0317"/>
    <w:rsid w:val="002E0845"/>
    <w:rsid w:val="002E6C29"/>
    <w:rsid w:val="002E7598"/>
    <w:rsid w:val="0033349C"/>
    <w:rsid w:val="00334257"/>
    <w:rsid w:val="0036227E"/>
    <w:rsid w:val="00372501"/>
    <w:rsid w:val="003A53F7"/>
    <w:rsid w:val="003B08D8"/>
    <w:rsid w:val="003B156C"/>
    <w:rsid w:val="003E7969"/>
    <w:rsid w:val="00415A61"/>
    <w:rsid w:val="00436673"/>
    <w:rsid w:val="00442E7D"/>
    <w:rsid w:val="00444388"/>
    <w:rsid w:val="00455026"/>
    <w:rsid w:val="004652D2"/>
    <w:rsid w:val="004676E7"/>
    <w:rsid w:val="0047101F"/>
    <w:rsid w:val="004770A3"/>
    <w:rsid w:val="00482537"/>
    <w:rsid w:val="00483B9D"/>
    <w:rsid w:val="00487817"/>
    <w:rsid w:val="00490C96"/>
    <w:rsid w:val="004C454D"/>
    <w:rsid w:val="004F3801"/>
    <w:rsid w:val="00502551"/>
    <w:rsid w:val="0050317E"/>
    <w:rsid w:val="0050588D"/>
    <w:rsid w:val="00506186"/>
    <w:rsid w:val="005253F2"/>
    <w:rsid w:val="00531642"/>
    <w:rsid w:val="005425DA"/>
    <w:rsid w:val="0054798B"/>
    <w:rsid w:val="00573F37"/>
    <w:rsid w:val="005A48BA"/>
    <w:rsid w:val="005B3A9F"/>
    <w:rsid w:val="005B6EF8"/>
    <w:rsid w:val="005C6D1B"/>
    <w:rsid w:val="005D1847"/>
    <w:rsid w:val="005D261B"/>
    <w:rsid w:val="005E04A4"/>
    <w:rsid w:val="005E2449"/>
    <w:rsid w:val="00606D21"/>
    <w:rsid w:val="00621213"/>
    <w:rsid w:val="00637A81"/>
    <w:rsid w:val="00654E77"/>
    <w:rsid w:val="006717A0"/>
    <w:rsid w:val="00673008"/>
    <w:rsid w:val="0067645A"/>
    <w:rsid w:val="006910B0"/>
    <w:rsid w:val="0069274C"/>
    <w:rsid w:val="006A1EFD"/>
    <w:rsid w:val="006A53A9"/>
    <w:rsid w:val="006D0ECA"/>
    <w:rsid w:val="006D6007"/>
    <w:rsid w:val="0070354E"/>
    <w:rsid w:val="00704582"/>
    <w:rsid w:val="00717492"/>
    <w:rsid w:val="007435C1"/>
    <w:rsid w:val="00750F76"/>
    <w:rsid w:val="0076114B"/>
    <w:rsid w:val="007708A9"/>
    <w:rsid w:val="00782B08"/>
    <w:rsid w:val="00782D2A"/>
    <w:rsid w:val="00783FDD"/>
    <w:rsid w:val="007A1624"/>
    <w:rsid w:val="007B34C5"/>
    <w:rsid w:val="007C46C3"/>
    <w:rsid w:val="007D5157"/>
    <w:rsid w:val="007E33CE"/>
    <w:rsid w:val="007F54E0"/>
    <w:rsid w:val="00802271"/>
    <w:rsid w:val="00802466"/>
    <w:rsid w:val="00805144"/>
    <w:rsid w:val="008107E5"/>
    <w:rsid w:val="00815EB9"/>
    <w:rsid w:val="00835F46"/>
    <w:rsid w:val="00864C4F"/>
    <w:rsid w:val="008706F4"/>
    <w:rsid w:val="00874B9D"/>
    <w:rsid w:val="00874E6A"/>
    <w:rsid w:val="008832E9"/>
    <w:rsid w:val="00884075"/>
    <w:rsid w:val="00884252"/>
    <w:rsid w:val="008943CA"/>
    <w:rsid w:val="008A0065"/>
    <w:rsid w:val="008A68FA"/>
    <w:rsid w:val="008B320D"/>
    <w:rsid w:val="008E2975"/>
    <w:rsid w:val="008F3358"/>
    <w:rsid w:val="00903D26"/>
    <w:rsid w:val="009201D8"/>
    <w:rsid w:val="00921465"/>
    <w:rsid w:val="00930CBD"/>
    <w:rsid w:val="009341D3"/>
    <w:rsid w:val="00935B81"/>
    <w:rsid w:val="0095086B"/>
    <w:rsid w:val="00956736"/>
    <w:rsid w:val="00985084"/>
    <w:rsid w:val="00986FAC"/>
    <w:rsid w:val="0099402F"/>
    <w:rsid w:val="009A005E"/>
    <w:rsid w:val="009A7936"/>
    <w:rsid w:val="009D26EE"/>
    <w:rsid w:val="009E3D39"/>
    <w:rsid w:val="009E7D45"/>
    <w:rsid w:val="009F6918"/>
    <w:rsid w:val="00A13EAB"/>
    <w:rsid w:val="00A30373"/>
    <w:rsid w:val="00A404E0"/>
    <w:rsid w:val="00A407A2"/>
    <w:rsid w:val="00A47164"/>
    <w:rsid w:val="00A514A6"/>
    <w:rsid w:val="00A91FD9"/>
    <w:rsid w:val="00AA0403"/>
    <w:rsid w:val="00AB1B2B"/>
    <w:rsid w:val="00AC0C7E"/>
    <w:rsid w:val="00AD6662"/>
    <w:rsid w:val="00AE4E3D"/>
    <w:rsid w:val="00AF21F6"/>
    <w:rsid w:val="00B01A6C"/>
    <w:rsid w:val="00B10AE7"/>
    <w:rsid w:val="00B119FA"/>
    <w:rsid w:val="00B2661F"/>
    <w:rsid w:val="00B57265"/>
    <w:rsid w:val="00B802D3"/>
    <w:rsid w:val="00B96BB9"/>
    <w:rsid w:val="00BB024C"/>
    <w:rsid w:val="00BB738B"/>
    <w:rsid w:val="00BD077B"/>
    <w:rsid w:val="00BD5B53"/>
    <w:rsid w:val="00C038A8"/>
    <w:rsid w:val="00C0432F"/>
    <w:rsid w:val="00C30A05"/>
    <w:rsid w:val="00C31619"/>
    <w:rsid w:val="00C32F4F"/>
    <w:rsid w:val="00C37AB6"/>
    <w:rsid w:val="00C403D9"/>
    <w:rsid w:val="00C6383E"/>
    <w:rsid w:val="00C778DF"/>
    <w:rsid w:val="00CA1697"/>
    <w:rsid w:val="00CA5A3A"/>
    <w:rsid w:val="00CA5F76"/>
    <w:rsid w:val="00CB5E55"/>
    <w:rsid w:val="00CC3C72"/>
    <w:rsid w:val="00CE23B8"/>
    <w:rsid w:val="00D12456"/>
    <w:rsid w:val="00D16F71"/>
    <w:rsid w:val="00D305C9"/>
    <w:rsid w:val="00D321EB"/>
    <w:rsid w:val="00D42BE2"/>
    <w:rsid w:val="00D515AE"/>
    <w:rsid w:val="00D73766"/>
    <w:rsid w:val="00D75C1E"/>
    <w:rsid w:val="00D87BB1"/>
    <w:rsid w:val="00DA606A"/>
    <w:rsid w:val="00DF4030"/>
    <w:rsid w:val="00E132E7"/>
    <w:rsid w:val="00E27653"/>
    <w:rsid w:val="00E35D5B"/>
    <w:rsid w:val="00E55F4F"/>
    <w:rsid w:val="00E87A4F"/>
    <w:rsid w:val="00EA31F9"/>
    <w:rsid w:val="00EA7677"/>
    <w:rsid w:val="00EA787E"/>
    <w:rsid w:val="00EB0A1D"/>
    <w:rsid w:val="00EC071D"/>
    <w:rsid w:val="00ED2654"/>
    <w:rsid w:val="00EE7086"/>
    <w:rsid w:val="00EF0F13"/>
    <w:rsid w:val="00F109D9"/>
    <w:rsid w:val="00F310C5"/>
    <w:rsid w:val="00F42ED5"/>
    <w:rsid w:val="00F50B86"/>
    <w:rsid w:val="00F55801"/>
    <w:rsid w:val="00F55869"/>
    <w:rsid w:val="00F7784D"/>
    <w:rsid w:val="00F83B1B"/>
    <w:rsid w:val="00F97D1A"/>
    <w:rsid w:val="00FA2F28"/>
    <w:rsid w:val="00FB0C2A"/>
    <w:rsid w:val="00FC1A38"/>
    <w:rsid w:val="00FC4B7D"/>
    <w:rsid w:val="00FD67D5"/>
    <w:rsid w:val="00FD70A6"/>
    <w:rsid w:val="00FE1F56"/>
    <w:rsid w:val="00FF2E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E682A"/>
  <w15:chartTrackingRefBased/>
  <w15:docId w15:val="{F2B8705D-081B-4945-8232-E2A9D8F5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A3"/>
    <w:pPr>
      <w:widowControl w:val="0"/>
    </w:pPr>
  </w:style>
  <w:style w:type="paragraph" w:styleId="Heading1">
    <w:name w:val="heading 1"/>
    <w:basedOn w:val="Normal"/>
    <w:next w:val="Normal"/>
    <w:link w:val="Heading1Char"/>
    <w:uiPriority w:val="9"/>
    <w:qFormat/>
    <w:rsid w:val="00D321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D321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D321EB"/>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D321EB"/>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32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1EB"/>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D321EB"/>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1EB"/>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D321EB"/>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D321E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321EB"/>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321EB"/>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32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1EB"/>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D32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1EB"/>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D321EB"/>
    <w:rPr>
      <w:rFonts w:eastAsiaTheme="majorEastAsia" w:cstheme="majorBidi"/>
      <w:color w:val="272727" w:themeColor="text1" w:themeTint="D8"/>
    </w:rPr>
  </w:style>
  <w:style w:type="paragraph" w:styleId="Title">
    <w:name w:val="Title"/>
    <w:basedOn w:val="Normal"/>
    <w:next w:val="Normal"/>
    <w:link w:val="TitleChar"/>
    <w:uiPriority w:val="10"/>
    <w:qFormat/>
    <w:rsid w:val="00D321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1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1E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321EB"/>
    <w:pPr>
      <w:spacing w:before="160"/>
      <w:jc w:val="center"/>
    </w:pPr>
    <w:rPr>
      <w:i/>
      <w:iCs/>
      <w:color w:val="404040" w:themeColor="text1" w:themeTint="BF"/>
    </w:rPr>
  </w:style>
  <w:style w:type="character" w:customStyle="1" w:styleId="QuoteChar">
    <w:name w:val="Quote Char"/>
    <w:basedOn w:val="DefaultParagraphFont"/>
    <w:link w:val="Quote"/>
    <w:uiPriority w:val="29"/>
    <w:rsid w:val="00D321EB"/>
    <w:rPr>
      <w:i/>
      <w:iCs/>
      <w:color w:val="404040" w:themeColor="text1" w:themeTint="BF"/>
    </w:rPr>
  </w:style>
  <w:style w:type="paragraph" w:styleId="ListParagraph">
    <w:name w:val="List Paragraph"/>
    <w:basedOn w:val="Normal"/>
    <w:uiPriority w:val="34"/>
    <w:qFormat/>
    <w:rsid w:val="00D321EB"/>
    <w:pPr>
      <w:ind w:left="720"/>
      <w:contextualSpacing/>
    </w:pPr>
  </w:style>
  <w:style w:type="character" w:styleId="IntenseEmphasis">
    <w:name w:val="Intense Emphasis"/>
    <w:basedOn w:val="DefaultParagraphFont"/>
    <w:uiPriority w:val="21"/>
    <w:qFormat/>
    <w:rsid w:val="00D321EB"/>
    <w:rPr>
      <w:i/>
      <w:iCs/>
      <w:color w:val="0F4761" w:themeColor="accent1" w:themeShade="BF"/>
    </w:rPr>
  </w:style>
  <w:style w:type="paragraph" w:styleId="IntenseQuote">
    <w:name w:val="Intense Quote"/>
    <w:basedOn w:val="Normal"/>
    <w:next w:val="Normal"/>
    <w:link w:val="IntenseQuoteChar"/>
    <w:uiPriority w:val="30"/>
    <w:qFormat/>
    <w:rsid w:val="00D32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1EB"/>
    <w:rPr>
      <w:i/>
      <w:iCs/>
      <w:color w:val="0F4761" w:themeColor="accent1" w:themeShade="BF"/>
    </w:rPr>
  </w:style>
  <w:style w:type="character" w:styleId="IntenseReference">
    <w:name w:val="Intense Reference"/>
    <w:basedOn w:val="DefaultParagraphFont"/>
    <w:uiPriority w:val="32"/>
    <w:qFormat/>
    <w:rsid w:val="00D321EB"/>
    <w:rPr>
      <w:b/>
      <w:bCs/>
      <w:smallCaps/>
      <w:color w:val="0F4761" w:themeColor="accent1" w:themeShade="BF"/>
      <w:spacing w:val="5"/>
    </w:rPr>
  </w:style>
  <w:style w:type="paragraph" w:styleId="Header">
    <w:name w:val="header"/>
    <w:basedOn w:val="Normal"/>
    <w:link w:val="HeaderChar"/>
    <w:uiPriority w:val="99"/>
    <w:unhideWhenUsed/>
    <w:rsid w:val="0022754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27544"/>
    <w:rPr>
      <w:sz w:val="20"/>
      <w:szCs w:val="20"/>
    </w:rPr>
  </w:style>
  <w:style w:type="paragraph" w:styleId="Footer">
    <w:name w:val="footer"/>
    <w:basedOn w:val="Normal"/>
    <w:link w:val="FooterChar"/>
    <w:uiPriority w:val="99"/>
    <w:unhideWhenUsed/>
    <w:rsid w:val="0022754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27544"/>
    <w:rPr>
      <w:sz w:val="20"/>
      <w:szCs w:val="20"/>
    </w:rPr>
  </w:style>
  <w:style w:type="table" w:styleId="TableGrid">
    <w:name w:val="Table Grid"/>
    <w:basedOn w:val="TableNormal"/>
    <w:uiPriority w:val="39"/>
    <w:rsid w:val="002E6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04B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9126">
      <w:bodyDiv w:val="1"/>
      <w:marLeft w:val="0"/>
      <w:marRight w:val="0"/>
      <w:marTop w:val="0"/>
      <w:marBottom w:val="0"/>
      <w:divBdr>
        <w:top w:val="none" w:sz="0" w:space="0" w:color="auto"/>
        <w:left w:val="none" w:sz="0" w:space="0" w:color="auto"/>
        <w:bottom w:val="none" w:sz="0" w:space="0" w:color="auto"/>
        <w:right w:val="none" w:sz="0" w:space="0" w:color="auto"/>
      </w:divBdr>
    </w:div>
    <w:div w:id="239682250">
      <w:bodyDiv w:val="1"/>
      <w:marLeft w:val="0"/>
      <w:marRight w:val="0"/>
      <w:marTop w:val="0"/>
      <w:marBottom w:val="0"/>
      <w:divBdr>
        <w:top w:val="none" w:sz="0" w:space="0" w:color="auto"/>
        <w:left w:val="none" w:sz="0" w:space="0" w:color="auto"/>
        <w:bottom w:val="none" w:sz="0" w:space="0" w:color="auto"/>
        <w:right w:val="none" w:sz="0" w:space="0" w:color="auto"/>
      </w:divBdr>
      <w:divsChild>
        <w:div w:id="458915496">
          <w:marLeft w:val="0"/>
          <w:marRight w:val="0"/>
          <w:marTop w:val="0"/>
          <w:marBottom w:val="0"/>
          <w:divBdr>
            <w:top w:val="none" w:sz="0" w:space="0" w:color="auto"/>
            <w:left w:val="none" w:sz="0" w:space="0" w:color="auto"/>
            <w:bottom w:val="none" w:sz="0" w:space="0" w:color="auto"/>
            <w:right w:val="none" w:sz="0" w:space="0" w:color="auto"/>
          </w:divBdr>
          <w:divsChild>
            <w:div w:id="1667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7925">
      <w:bodyDiv w:val="1"/>
      <w:marLeft w:val="0"/>
      <w:marRight w:val="0"/>
      <w:marTop w:val="0"/>
      <w:marBottom w:val="0"/>
      <w:divBdr>
        <w:top w:val="none" w:sz="0" w:space="0" w:color="auto"/>
        <w:left w:val="none" w:sz="0" w:space="0" w:color="auto"/>
        <w:bottom w:val="none" w:sz="0" w:space="0" w:color="auto"/>
        <w:right w:val="none" w:sz="0" w:space="0" w:color="auto"/>
      </w:divBdr>
    </w:div>
    <w:div w:id="252056347">
      <w:bodyDiv w:val="1"/>
      <w:marLeft w:val="0"/>
      <w:marRight w:val="0"/>
      <w:marTop w:val="0"/>
      <w:marBottom w:val="0"/>
      <w:divBdr>
        <w:top w:val="none" w:sz="0" w:space="0" w:color="auto"/>
        <w:left w:val="none" w:sz="0" w:space="0" w:color="auto"/>
        <w:bottom w:val="none" w:sz="0" w:space="0" w:color="auto"/>
        <w:right w:val="none" w:sz="0" w:space="0" w:color="auto"/>
      </w:divBdr>
    </w:div>
    <w:div w:id="377242707">
      <w:bodyDiv w:val="1"/>
      <w:marLeft w:val="0"/>
      <w:marRight w:val="0"/>
      <w:marTop w:val="0"/>
      <w:marBottom w:val="0"/>
      <w:divBdr>
        <w:top w:val="none" w:sz="0" w:space="0" w:color="auto"/>
        <w:left w:val="none" w:sz="0" w:space="0" w:color="auto"/>
        <w:bottom w:val="none" w:sz="0" w:space="0" w:color="auto"/>
        <w:right w:val="none" w:sz="0" w:space="0" w:color="auto"/>
      </w:divBdr>
    </w:div>
    <w:div w:id="480081524">
      <w:bodyDiv w:val="1"/>
      <w:marLeft w:val="0"/>
      <w:marRight w:val="0"/>
      <w:marTop w:val="0"/>
      <w:marBottom w:val="0"/>
      <w:divBdr>
        <w:top w:val="none" w:sz="0" w:space="0" w:color="auto"/>
        <w:left w:val="none" w:sz="0" w:space="0" w:color="auto"/>
        <w:bottom w:val="none" w:sz="0" w:space="0" w:color="auto"/>
        <w:right w:val="none" w:sz="0" w:space="0" w:color="auto"/>
      </w:divBdr>
    </w:div>
    <w:div w:id="589119881">
      <w:bodyDiv w:val="1"/>
      <w:marLeft w:val="0"/>
      <w:marRight w:val="0"/>
      <w:marTop w:val="0"/>
      <w:marBottom w:val="0"/>
      <w:divBdr>
        <w:top w:val="none" w:sz="0" w:space="0" w:color="auto"/>
        <w:left w:val="none" w:sz="0" w:space="0" w:color="auto"/>
        <w:bottom w:val="none" w:sz="0" w:space="0" w:color="auto"/>
        <w:right w:val="none" w:sz="0" w:space="0" w:color="auto"/>
      </w:divBdr>
    </w:div>
    <w:div w:id="712582937">
      <w:bodyDiv w:val="1"/>
      <w:marLeft w:val="0"/>
      <w:marRight w:val="0"/>
      <w:marTop w:val="0"/>
      <w:marBottom w:val="0"/>
      <w:divBdr>
        <w:top w:val="none" w:sz="0" w:space="0" w:color="auto"/>
        <w:left w:val="none" w:sz="0" w:space="0" w:color="auto"/>
        <w:bottom w:val="none" w:sz="0" w:space="0" w:color="auto"/>
        <w:right w:val="none" w:sz="0" w:space="0" w:color="auto"/>
      </w:divBdr>
      <w:divsChild>
        <w:div w:id="172578508">
          <w:marLeft w:val="0"/>
          <w:marRight w:val="0"/>
          <w:marTop w:val="0"/>
          <w:marBottom w:val="0"/>
          <w:divBdr>
            <w:top w:val="none" w:sz="0" w:space="0" w:color="auto"/>
            <w:left w:val="none" w:sz="0" w:space="0" w:color="auto"/>
            <w:bottom w:val="none" w:sz="0" w:space="0" w:color="auto"/>
            <w:right w:val="none" w:sz="0" w:space="0" w:color="auto"/>
          </w:divBdr>
          <w:divsChild>
            <w:div w:id="17876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6113">
      <w:bodyDiv w:val="1"/>
      <w:marLeft w:val="0"/>
      <w:marRight w:val="0"/>
      <w:marTop w:val="0"/>
      <w:marBottom w:val="0"/>
      <w:divBdr>
        <w:top w:val="none" w:sz="0" w:space="0" w:color="auto"/>
        <w:left w:val="none" w:sz="0" w:space="0" w:color="auto"/>
        <w:bottom w:val="none" w:sz="0" w:space="0" w:color="auto"/>
        <w:right w:val="none" w:sz="0" w:space="0" w:color="auto"/>
      </w:divBdr>
    </w:div>
    <w:div w:id="875199286">
      <w:bodyDiv w:val="1"/>
      <w:marLeft w:val="0"/>
      <w:marRight w:val="0"/>
      <w:marTop w:val="0"/>
      <w:marBottom w:val="0"/>
      <w:divBdr>
        <w:top w:val="none" w:sz="0" w:space="0" w:color="auto"/>
        <w:left w:val="none" w:sz="0" w:space="0" w:color="auto"/>
        <w:bottom w:val="none" w:sz="0" w:space="0" w:color="auto"/>
        <w:right w:val="none" w:sz="0" w:space="0" w:color="auto"/>
      </w:divBdr>
    </w:div>
    <w:div w:id="918054360">
      <w:bodyDiv w:val="1"/>
      <w:marLeft w:val="0"/>
      <w:marRight w:val="0"/>
      <w:marTop w:val="0"/>
      <w:marBottom w:val="0"/>
      <w:divBdr>
        <w:top w:val="none" w:sz="0" w:space="0" w:color="auto"/>
        <w:left w:val="none" w:sz="0" w:space="0" w:color="auto"/>
        <w:bottom w:val="none" w:sz="0" w:space="0" w:color="auto"/>
        <w:right w:val="none" w:sz="0" w:space="0" w:color="auto"/>
      </w:divBdr>
    </w:div>
    <w:div w:id="969047380">
      <w:bodyDiv w:val="1"/>
      <w:marLeft w:val="0"/>
      <w:marRight w:val="0"/>
      <w:marTop w:val="0"/>
      <w:marBottom w:val="0"/>
      <w:divBdr>
        <w:top w:val="none" w:sz="0" w:space="0" w:color="auto"/>
        <w:left w:val="none" w:sz="0" w:space="0" w:color="auto"/>
        <w:bottom w:val="none" w:sz="0" w:space="0" w:color="auto"/>
        <w:right w:val="none" w:sz="0" w:space="0" w:color="auto"/>
      </w:divBdr>
    </w:div>
    <w:div w:id="982731551">
      <w:bodyDiv w:val="1"/>
      <w:marLeft w:val="0"/>
      <w:marRight w:val="0"/>
      <w:marTop w:val="0"/>
      <w:marBottom w:val="0"/>
      <w:divBdr>
        <w:top w:val="none" w:sz="0" w:space="0" w:color="auto"/>
        <w:left w:val="none" w:sz="0" w:space="0" w:color="auto"/>
        <w:bottom w:val="none" w:sz="0" w:space="0" w:color="auto"/>
        <w:right w:val="none" w:sz="0" w:space="0" w:color="auto"/>
      </w:divBdr>
    </w:div>
    <w:div w:id="1060176370">
      <w:bodyDiv w:val="1"/>
      <w:marLeft w:val="0"/>
      <w:marRight w:val="0"/>
      <w:marTop w:val="0"/>
      <w:marBottom w:val="0"/>
      <w:divBdr>
        <w:top w:val="none" w:sz="0" w:space="0" w:color="auto"/>
        <w:left w:val="none" w:sz="0" w:space="0" w:color="auto"/>
        <w:bottom w:val="none" w:sz="0" w:space="0" w:color="auto"/>
        <w:right w:val="none" w:sz="0" w:space="0" w:color="auto"/>
      </w:divBdr>
    </w:div>
    <w:div w:id="1195726599">
      <w:bodyDiv w:val="1"/>
      <w:marLeft w:val="0"/>
      <w:marRight w:val="0"/>
      <w:marTop w:val="0"/>
      <w:marBottom w:val="0"/>
      <w:divBdr>
        <w:top w:val="none" w:sz="0" w:space="0" w:color="auto"/>
        <w:left w:val="none" w:sz="0" w:space="0" w:color="auto"/>
        <w:bottom w:val="none" w:sz="0" w:space="0" w:color="auto"/>
        <w:right w:val="none" w:sz="0" w:space="0" w:color="auto"/>
      </w:divBdr>
    </w:div>
    <w:div w:id="1575162987">
      <w:bodyDiv w:val="1"/>
      <w:marLeft w:val="0"/>
      <w:marRight w:val="0"/>
      <w:marTop w:val="0"/>
      <w:marBottom w:val="0"/>
      <w:divBdr>
        <w:top w:val="none" w:sz="0" w:space="0" w:color="auto"/>
        <w:left w:val="none" w:sz="0" w:space="0" w:color="auto"/>
        <w:bottom w:val="none" w:sz="0" w:space="0" w:color="auto"/>
        <w:right w:val="none" w:sz="0" w:space="0" w:color="auto"/>
      </w:divBdr>
    </w:div>
    <w:div w:id="168351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1905</Words>
  <Characters>10478</Characters>
  <Application>Microsoft Office Word</Application>
  <DocSecurity>0</DocSecurity>
  <Lines>952</Lines>
  <Paragraphs>728</Paragraphs>
  <ScaleCrop>false</ScaleCrop>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Yung-Ting Lu</dc:creator>
  <cp:keywords/>
  <dc:description/>
  <cp:lastModifiedBy>Yung-Ting Lu</cp:lastModifiedBy>
  <cp:revision>2</cp:revision>
  <dcterms:created xsi:type="dcterms:W3CDTF">2025-03-19T11:15:00Z</dcterms:created>
  <dcterms:modified xsi:type="dcterms:W3CDTF">2025-03-19T11:15:00Z</dcterms:modified>
</cp:coreProperties>
</file>