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color w:val="1F3864"/>
          <w:sz w:val="28"/>
          <w:szCs w:val="28"/>
        </w:rPr>
        <w:t xml:space="preserve">CONTRATO DE PRESTAÇÃO DE SERVIÇOS</w:t>
      </w:r>
    </w:p>
    <w:p>
      <w:pPr>
        <w:spacing w:after="60" w:before="0"/>
        <w:jc w:val="center"/>
      </w:pPr>
      <w:r>
        <w:rPr>
          <w:rFonts w:ascii="Arial" w:cs="Arial" w:eastAsia="Arial" w:hAnsi="Arial"/>
          <w:b/>
          <w:bCs/>
          <w:color w:val="1F3864"/>
          <w:sz w:val="22"/>
          <w:szCs w:val="22"/>
        </w:rPr>
        <w:t xml:space="preserve">Desenvolvimento, Implantação e Manutenção de Software</w:t>
      </w:r>
    </w:p>
    <w:p>
      <w:pPr>
        <w:spacing w:after="60" w:before="0"/>
        <w:jc w:val="center"/>
      </w:pPr>
      <w:r>
        <w:rPr>
          <w:rFonts w:ascii="Arial" w:cs="Arial" w:eastAsia="Arial" w:hAnsi="Arial"/>
          <w:i/>
          <w:iCs/>
          <w:color w:val="666666"/>
          <w:sz w:val="20"/>
          <w:szCs w:val="20"/>
        </w:rPr>
        <w:t xml:space="preserve">Projeto: Plataforma de Personalização de Joias e E-commerce</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 Partes</w:t>
      </w:r>
    </w:p>
    <w:p>
      <w:pPr>
        <w:spacing w:after="60" w:before="80"/>
        <w:jc w:val="both"/>
      </w:pPr>
      <w:r>
        <w:rPr>
          <w:rFonts w:ascii="Arial" w:cs="Arial" w:eastAsia="Arial" w:hAnsi="Arial"/>
          <w:b/>
          <w:bCs/>
          <w:color w:val="333333"/>
          <w:sz w:val="20"/>
          <w:szCs w:val="20"/>
        </w:rPr>
        <w:t xml:space="preserve">CONTRATANTE:</w:t>
      </w:r>
    </w:p>
    <w:p>
      <w:pPr>
        <w:spacing w:after="60" w:before="60"/>
        <w:jc w:val="both"/>
      </w:pPr>
      <w:r>
        <w:rPr>
          <w:rFonts w:ascii="Arial" w:cs="Arial" w:eastAsia="Arial" w:hAnsi="Arial"/>
          <w:color w:val="333333"/>
          <w:sz w:val="20"/>
          <w:szCs w:val="20"/>
        </w:rPr>
        <w:t xml:space="preserve">[RAZÃO SOCIAL / NOME COMPLETO], [forma societária], inscrito(a) no CNPJ/CPF sob nº [___], com sede/endereço em [___], neste ato representado(a) por [NOME DO REPRESENTANTE], CPF nº [___], e-mail [___].</w:t>
      </w:r>
    </w:p>
    <w:p>
      <w:pPr>
        <w:spacing w:after="60" w:before="40"/>
        <w:jc w:val="both"/>
      </w:pPr>
      <w:r>
        <w:rPr>
          <w:rFonts w:ascii="Arial" w:cs="Arial" w:eastAsia="Arial" w:hAnsi="Arial"/>
          <w:i/>
          <w:iCs/>
          <w:color w:val="666666"/>
          <w:sz w:val="20"/>
          <w:szCs w:val="20"/>
        </w:rPr>
        <w:t xml:space="preserve">⚠ Preencher após recebimento dos dados cadastrais do cliente.</w:t>
      </w:r>
    </w:p>
    <w:p>
      <w:pPr>
        <w:spacing w:after="60" w:before="60"/>
      </w:pPr>
      <w:r>
        <w:t xml:space="preserve"/>
      </w:r>
    </w:p>
    <w:p>
      <w:pPr>
        <w:spacing w:after="60" w:before="60"/>
        <w:jc w:val="both"/>
      </w:pPr>
      <w:r>
        <w:rPr>
          <w:rFonts w:ascii="Arial" w:cs="Arial" w:eastAsia="Arial" w:hAnsi="Arial"/>
          <w:b/>
          <w:bCs/>
          <w:color w:val="333333"/>
          <w:sz w:val="20"/>
          <w:szCs w:val="20"/>
        </w:rPr>
        <w:t xml:space="preserve">CONTRATADO:</w:t>
      </w:r>
    </w:p>
    <w:p>
      <w:pPr>
        <w:spacing w:after="60" w:before="60"/>
        <w:jc w:val="both"/>
      </w:pPr>
      <w:r>
        <w:rPr>
          <w:rFonts w:ascii="Arial" w:cs="Arial" w:eastAsia="Arial" w:hAnsi="Arial"/>
          <w:color w:val="333333"/>
          <w:sz w:val="20"/>
          <w:szCs w:val="20"/>
        </w:rPr>
        <w:t xml:space="preserve">IMPULSO TECH DESENVOLVIMENTO LTDA, pessoa jurídica de direito privado, inscrita no CNPJ sob nº 47.077.981/0001-39, com sede em Nova Iguaçu – RJ, neste ato representada por Luiz Claudio Melo Junior, CPF nº [___], e-mail comercial@impulsotech.dev.</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2. Quadro Resumo da Contratação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Projeto / Nome Comercial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Plataforma de Personalização de Joias e E-commerce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Objeto Resumido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Desenvolvimento de MVP de plataforma web/mobile para personalização de semijoias com e-commerce integrado, painel administrativo e integrações essenciais, conforme Anexo 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Prazo de Desenvolvimento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Até 120 (cento e vinte) dias úteis, contados na forma da Cláusula 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Valor Total do Desenvolvimento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R$ 10.000,00 (dez mil reais)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Forma de Pagamento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À vista, parcela única, no ato da assinatura do contrato, via PIX ou transferência bancária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Manutenção – 1º Ano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R$ 500,00/mês — fidelidade de 48 meses (4 anos), com reajuste anual pelo IPCA, conforme Cláusula 21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Tecnologia / Ambiente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React + Vite + TypeScript + Tailwind CSS + Supabase + Node.js / Express — deployment em VPS via Docker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Garantia Contratual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90 (noventa) dias corridos após aceite final da entrega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3864"/>
                <w:sz w:val="20"/>
                <w:szCs w:val="20"/>
              </w:rPr>
              <w:t xml:space="preserve">Anexos Integrantes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333333"/>
                <w:sz w:val="20"/>
                <w:szCs w:val="20"/>
              </w:rPr>
              <w:t xml:space="preserve">Anexo I – Escopo / Proposta Comercial; Anexo II – Cronograma Macro</w:t>
            </w:r>
          </w:p>
        </w:tc>
      </w:tr>
    </w:tbl>
    <w:p>
      <w:pPr>
        <w:spacing w:after="60" w:before="60"/>
      </w:pPr>
      <w:r>
        <w:t xml:space="preserve"/>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3. Objeto e Escopo</w:t>
      </w:r>
    </w:p>
    <w:p>
      <w:pPr>
        <w:spacing w:after="60" w:before="60"/>
        <w:jc w:val="both"/>
      </w:pPr>
      <w:r>
        <w:rPr>
          <w:rFonts w:ascii="Arial" w:cs="Arial" w:eastAsia="Arial" w:hAnsi="Arial"/>
          <w:color w:val="333333"/>
          <w:sz w:val="20"/>
          <w:szCs w:val="20"/>
        </w:rPr>
        <w:t xml:space="preserve">3.1. O presente contrato tem por objeto a prestação, pelo CONTRATADO, de serviços técnicos especializados de análise, desenvolvimento, configuração, implantação, integração, customização, documentação e manutenção de software, conforme detalhamento constante do Anexo I.</w:t>
      </w:r>
    </w:p>
    <w:p>
      <w:pPr>
        <w:spacing w:after="60" w:before="60"/>
        <w:jc w:val="both"/>
      </w:pPr>
      <w:r>
        <w:rPr>
          <w:rFonts w:ascii="Arial" w:cs="Arial" w:eastAsia="Arial" w:hAnsi="Arial"/>
          <w:color w:val="333333"/>
          <w:sz w:val="20"/>
          <w:szCs w:val="20"/>
        </w:rPr>
        <w:t xml:space="preserve">3.2. O escopo contratado compreende a entrega de um MVP (Minimum Viable Product) funcional e operacional da Plataforma de Personalização de Joias, incluindo:</w:t>
      </w:r>
    </w:p>
    <w:p>
      <w:pPr>
        <w:pStyle w:val="ListParagraph"/>
        <w:numPr>
          <w:ilvl w:val="0"/>
          <w:numId w:val="2"/>
        </w:numPr>
        <w:spacing w:after="40" w:before="40"/>
        <w:jc w:val="both"/>
      </w:pPr>
      <w:r>
        <w:rPr>
          <w:rFonts w:ascii="Arial" w:cs="Arial" w:eastAsia="Arial" w:hAnsi="Arial"/>
          <w:color w:val="333333"/>
          <w:sz w:val="20"/>
          <w:szCs w:val="20"/>
        </w:rPr>
        <w:t xml:space="preserve">Módulo de personalização interativa de semijoias (pingentes, escapulários e demais produtos definidos no PRD);</w:t>
      </w:r>
    </w:p>
    <w:p>
      <w:pPr>
        <w:pStyle w:val="ListParagraph"/>
        <w:numPr>
          <w:ilvl w:val="0"/>
          <w:numId w:val="2"/>
        </w:numPr>
        <w:spacing w:after="40" w:before="40"/>
        <w:jc w:val="both"/>
      </w:pPr>
      <w:r>
        <w:rPr>
          <w:rFonts w:ascii="Arial" w:cs="Arial" w:eastAsia="Arial" w:hAnsi="Arial"/>
          <w:color w:val="333333"/>
          <w:sz w:val="20"/>
          <w:szCs w:val="20"/>
        </w:rPr>
        <w:t xml:space="preserve">Configuração por etapas: tipo de metal, subcamadas (ouro 18K, ouro rosê, ouro branco, prata), formato, tamanho e serviços de personalização (frente e verso);</w:t>
      </w:r>
    </w:p>
    <w:p>
      <w:pPr>
        <w:pStyle w:val="ListParagraph"/>
        <w:numPr>
          <w:ilvl w:val="0"/>
          <w:numId w:val="2"/>
        </w:numPr>
        <w:spacing w:after="40" w:before="40"/>
        <w:jc w:val="both"/>
      </w:pPr>
      <w:r>
        <w:rPr>
          <w:rFonts w:ascii="Arial" w:cs="Arial" w:eastAsia="Arial" w:hAnsi="Arial"/>
          <w:color w:val="333333"/>
          <w:sz w:val="20"/>
          <w:szCs w:val="20"/>
        </w:rPr>
        <w:t xml:space="preserve">Upload e aplicação de vetores e fotos pelo usuário com efeitos visuais (simulação de alto/baixo relevo e gravação a laser);</w:t>
      </w:r>
    </w:p>
    <w:p>
      <w:pPr>
        <w:pStyle w:val="ListParagraph"/>
        <w:numPr>
          <w:ilvl w:val="0"/>
          <w:numId w:val="2"/>
        </w:numPr>
        <w:spacing w:after="40" w:before="40"/>
        <w:jc w:val="both"/>
      </w:pPr>
      <w:r>
        <w:rPr>
          <w:rFonts w:ascii="Arial" w:cs="Arial" w:eastAsia="Arial" w:hAnsi="Arial"/>
          <w:color w:val="333333"/>
          <w:sz w:val="20"/>
          <w:szCs w:val="20"/>
        </w:rPr>
        <w:t xml:space="preserve">Regras de negócio configuráveis (ex: desabilitação de opções conflitantes, restrições por combinação de serviços), conforme PRD aprovado;</w:t>
      </w:r>
    </w:p>
    <w:p>
      <w:pPr>
        <w:pStyle w:val="ListParagraph"/>
        <w:numPr>
          <w:ilvl w:val="0"/>
          <w:numId w:val="2"/>
        </w:numPr>
        <w:spacing w:after="40" w:before="40"/>
        <w:jc w:val="both"/>
      </w:pPr>
      <w:r>
        <w:rPr>
          <w:rFonts w:ascii="Arial" w:cs="Arial" w:eastAsia="Arial" w:hAnsi="Arial"/>
          <w:color w:val="333333"/>
          <w:sz w:val="20"/>
          <w:szCs w:val="20"/>
        </w:rPr>
        <w:t xml:space="preserve">Cálculo dinâmico de preço com integração à cotação de ouro em tempo real (API de bolsa);</w:t>
      </w:r>
    </w:p>
    <w:p>
      <w:pPr>
        <w:pStyle w:val="ListParagraph"/>
        <w:numPr>
          <w:ilvl w:val="0"/>
          <w:numId w:val="2"/>
        </w:numPr>
        <w:spacing w:after="40" w:before="40"/>
        <w:jc w:val="both"/>
      </w:pPr>
      <w:r>
        <w:rPr>
          <w:rFonts w:ascii="Arial" w:cs="Arial" w:eastAsia="Arial" w:hAnsi="Arial"/>
          <w:color w:val="333333"/>
          <w:sz w:val="20"/>
          <w:szCs w:val="20"/>
        </w:rPr>
        <w:t xml:space="preserve">E-commerce integrado com produtos personalizáveis e não personalizáveis, e lógica de venda casada;</w:t>
      </w:r>
    </w:p>
    <w:p>
      <w:pPr>
        <w:pStyle w:val="ListParagraph"/>
        <w:numPr>
          <w:ilvl w:val="0"/>
          <w:numId w:val="2"/>
        </w:numPr>
        <w:spacing w:after="40" w:before="40"/>
        <w:jc w:val="both"/>
      </w:pPr>
      <w:r>
        <w:rPr>
          <w:rFonts w:ascii="Arial" w:cs="Arial" w:eastAsia="Arial" w:hAnsi="Arial"/>
          <w:color w:val="333333"/>
          <w:sz w:val="20"/>
          <w:szCs w:val="20"/>
        </w:rPr>
        <w:t xml:space="preserve">Painel administrativo para gestão de produtos, imagens, vetores e configurações;</w:t>
      </w:r>
    </w:p>
    <w:p>
      <w:pPr>
        <w:pStyle w:val="ListParagraph"/>
        <w:numPr>
          <w:ilvl w:val="0"/>
          <w:numId w:val="2"/>
        </w:numPr>
        <w:spacing w:after="40" w:before="40"/>
        <w:jc w:val="both"/>
      </w:pPr>
      <w:r>
        <w:rPr>
          <w:rFonts w:ascii="Arial" w:cs="Arial" w:eastAsia="Arial" w:hAnsi="Arial"/>
          <w:color w:val="333333"/>
          <w:sz w:val="20"/>
          <w:szCs w:val="20"/>
        </w:rPr>
        <w:t xml:space="preserve">Integração com plataforma Bling (emissão de NF-e, gestão de pedidos e logística);</w:t>
      </w:r>
    </w:p>
    <w:p>
      <w:pPr>
        <w:pStyle w:val="ListParagraph"/>
        <w:numPr>
          <w:ilvl w:val="0"/>
          <w:numId w:val="2"/>
        </w:numPr>
        <w:spacing w:after="40" w:before="40"/>
        <w:jc w:val="both"/>
      </w:pPr>
      <w:r>
        <w:rPr>
          <w:rFonts w:ascii="Arial" w:cs="Arial" w:eastAsia="Arial" w:hAnsi="Arial"/>
          <w:color w:val="333333"/>
          <w:sz w:val="20"/>
          <w:szCs w:val="20"/>
        </w:rPr>
        <w:t xml:space="preserve">Gateway de pagamento a definir (excluindo Mercado Pago, conforme alinhamento em reunião);</w:t>
      </w:r>
    </w:p>
    <w:p>
      <w:pPr>
        <w:pStyle w:val="ListParagraph"/>
        <w:numPr>
          <w:ilvl w:val="0"/>
          <w:numId w:val="2"/>
        </w:numPr>
        <w:spacing w:after="40" w:before="40"/>
        <w:jc w:val="both"/>
      </w:pPr>
      <w:r>
        <w:rPr>
          <w:rFonts w:ascii="Arial" w:cs="Arial" w:eastAsia="Arial" w:hAnsi="Arial"/>
          <w:color w:val="333333"/>
          <w:sz w:val="20"/>
          <w:szCs w:val="20"/>
        </w:rPr>
        <w:t xml:space="preserve">Efeitos visuais de transição/animação de peça (flip/virada) no configurador, conforme referência do projeto anterior do CONTRATANTE.</w:t>
      </w:r>
    </w:p>
    <w:p>
      <w:pPr>
        <w:spacing w:after="60" w:before="60"/>
        <w:jc w:val="both"/>
      </w:pPr>
      <w:r>
        <w:rPr>
          <w:rFonts w:ascii="Arial" w:cs="Arial" w:eastAsia="Arial" w:hAnsi="Arial"/>
          <w:color w:val="333333"/>
          <w:sz w:val="20"/>
          <w:szCs w:val="20"/>
        </w:rPr>
        <w:t xml:space="preserve">3.3. O escopo não inclui, salvo contratação expressa e escrita em separado:</w:t>
      </w:r>
    </w:p>
    <w:p>
      <w:pPr>
        <w:pStyle w:val="ListParagraph"/>
        <w:numPr>
          <w:ilvl w:val="0"/>
          <w:numId w:val="2"/>
        </w:numPr>
        <w:spacing w:after="40" w:before="40"/>
        <w:jc w:val="both"/>
      </w:pPr>
      <w:r>
        <w:rPr>
          <w:rFonts w:ascii="Arial" w:cs="Arial" w:eastAsia="Arial" w:hAnsi="Arial"/>
          <w:color w:val="333333"/>
          <w:sz w:val="20"/>
          <w:szCs w:val="20"/>
        </w:rPr>
        <w:t xml:space="preserve">Renderização 3D realística de nível avançado (ex: modelo de referência Oakley — câmera AR, giro 3D em tempo real, visualização no corpo do usuário);</w:t>
      </w:r>
    </w:p>
    <w:p>
      <w:pPr>
        <w:pStyle w:val="ListParagraph"/>
        <w:numPr>
          <w:ilvl w:val="0"/>
          <w:numId w:val="2"/>
        </w:numPr>
        <w:spacing w:after="40" w:before="40"/>
        <w:jc w:val="both"/>
      </w:pPr>
      <w:r>
        <w:rPr>
          <w:rFonts w:ascii="Arial" w:cs="Arial" w:eastAsia="Arial" w:hAnsi="Arial"/>
          <w:color w:val="333333"/>
          <w:sz w:val="20"/>
          <w:szCs w:val="20"/>
        </w:rPr>
        <w:t xml:space="preserve">Saneamento de dados legados, APIs de terceiros não previstas, publicação em lojas de aplicativos (App Store / Google Play) além do escopo web;</w:t>
      </w:r>
    </w:p>
    <w:p>
      <w:pPr>
        <w:pStyle w:val="ListParagraph"/>
        <w:numPr>
          <w:ilvl w:val="0"/>
          <w:numId w:val="2"/>
        </w:numPr>
        <w:spacing w:after="40" w:before="40"/>
        <w:jc w:val="both"/>
      </w:pPr>
      <w:r>
        <w:rPr>
          <w:rFonts w:ascii="Arial" w:cs="Arial" w:eastAsia="Arial" w:hAnsi="Arial"/>
          <w:color w:val="333333"/>
          <w:sz w:val="20"/>
          <w:szCs w:val="20"/>
        </w:rPr>
        <w:t xml:space="preserve">Treinamento recorrente, operação assistida, SLA contínuo ou qualquer atividade não prevista no PRD aprovado.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4. Natureza da Obrigação</w:t>
      </w:r>
    </w:p>
    <w:p>
      <w:pPr>
        <w:spacing w:after="60" w:before="60"/>
        <w:jc w:val="both"/>
      </w:pPr>
      <w:r>
        <w:rPr>
          <w:rFonts w:ascii="Arial" w:cs="Arial" w:eastAsia="Arial" w:hAnsi="Arial"/>
          <w:color w:val="333333"/>
          <w:sz w:val="20"/>
          <w:szCs w:val="20"/>
        </w:rPr>
        <w:t xml:space="preserve">4.1. A obrigação do CONTRATADO é de meio, consistente na execução técnica diligente e compatível com as boas práticas do mercado, e não de resultado absoluto, especialmente quando houver dependência de aprovações, insumos, terceiros, APIs, plataformas externas, conteúdo, credenciais ou eventos fora do controle do CONTRATADO.</w:t>
      </w:r>
    </w:p>
    <w:p>
      <w:pPr>
        <w:spacing w:after="60" w:before="60"/>
        <w:jc w:val="both"/>
      </w:pPr>
      <w:r>
        <w:rPr>
          <w:rFonts w:ascii="Arial" w:cs="Arial" w:eastAsia="Arial" w:hAnsi="Arial"/>
          <w:color w:val="333333"/>
          <w:sz w:val="20"/>
          <w:szCs w:val="20"/>
        </w:rPr>
        <w:t xml:space="preserve">4.2. Estimativas de prazo, esforço, performance e produtividade possuem caráter referencial, observadas as premissas do projeto.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5. Prazo, Cronograma e Suspensão de Contagem</w:t>
      </w:r>
    </w:p>
    <w:p>
      <w:pPr>
        <w:spacing w:after="60" w:before="60"/>
        <w:jc w:val="both"/>
      </w:pPr>
      <w:r>
        <w:rPr>
          <w:rFonts w:ascii="Arial" w:cs="Arial" w:eastAsia="Arial" w:hAnsi="Arial"/>
          <w:color w:val="333333"/>
          <w:sz w:val="20"/>
          <w:szCs w:val="20"/>
        </w:rPr>
        <w:t xml:space="preserve">5.1. O prazo de 120 dias úteis terá início somente após a ocorrência cumulativa dos seguintes marcos: (i) assinatura deste contrato; (ii) pagamento integral à vista do valor de desenvolvimento; (iii) envio, pelo CONTRATANTE, de briefing, acessos, conteúdos, fluxogramas e demais insumos necessários para a fase de discovery; e (iv) validação e assinatura do PRD (Product Requirements Document).</w:t>
      </w:r>
    </w:p>
    <w:p>
      <w:pPr>
        <w:spacing w:after="60" w:before="60"/>
        <w:jc w:val="both"/>
      </w:pPr>
      <w:r>
        <w:rPr>
          <w:rFonts w:ascii="Arial" w:cs="Arial" w:eastAsia="Arial" w:hAnsi="Arial"/>
          <w:color w:val="333333"/>
          <w:sz w:val="20"/>
          <w:szCs w:val="20"/>
        </w:rPr>
        <w:t xml:space="preserve">5.2. Os prazos serão contados em dias úteis, excluindo sábados, domingos, feriados nacionais e feriados locais do domicílio do CONTRATADO (Nova Iguaçu – RJ).</w:t>
      </w:r>
    </w:p>
    <w:p>
      <w:pPr>
        <w:spacing w:after="60" w:before="60"/>
        <w:jc w:val="both"/>
      </w:pPr>
      <w:r>
        <w:rPr>
          <w:rFonts w:ascii="Arial" w:cs="Arial" w:eastAsia="Arial" w:hAnsi="Arial"/>
          <w:color w:val="333333"/>
          <w:sz w:val="20"/>
          <w:szCs w:val="20"/>
        </w:rPr>
        <w:t xml:space="preserve">5.3. A contagem ficará automaticamente suspensa, sem caracterizar mora do CONTRATADO, sempre que houver: atraso do CONTRATANTE em aprovar etapas; ausência ou inconsistência de informações ou regras de negócio; alteração de escopo; indisponibilidade de APIs, plataformas ou infraestrutura externa; inadimplência; ou qualquer fato imputável ao CONTRATANTE.</w:t>
      </w:r>
    </w:p>
    <w:p>
      <w:pPr>
        <w:spacing w:after="60" w:before="60"/>
        <w:jc w:val="both"/>
      </w:pPr>
      <w:r>
        <w:rPr>
          <w:rFonts w:ascii="Arial" w:cs="Arial" w:eastAsia="Arial" w:hAnsi="Arial"/>
          <w:color w:val="333333"/>
          <w:sz w:val="20"/>
          <w:szCs w:val="20"/>
        </w:rPr>
        <w:t xml:space="preserve">5.4. O CONTRATADO envidará esforços para antecipar a entrega, sendo do interesse de ambas as partes a conclusão antes do prazo máximo.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6. Metodologia de Desenvolvimento</w:t>
      </w:r>
    </w:p>
    <w:p>
      <w:pPr>
        <w:spacing w:after="60" w:before="60"/>
        <w:jc w:val="both"/>
      </w:pPr>
      <w:r>
        <w:rPr>
          <w:rFonts w:ascii="Arial" w:cs="Arial" w:eastAsia="Arial" w:hAnsi="Arial"/>
          <w:color w:val="333333"/>
          <w:sz w:val="20"/>
          <w:szCs w:val="20"/>
        </w:rPr>
        <w:t xml:space="preserve">6.1. O desenvolvimento seguirá o processo estruturado abaixo, em fases sequenciais:</w:t>
      </w:r>
    </w:p>
    <w:p>
      <w:pPr>
        <w:pStyle w:val="ListParagraph"/>
        <w:numPr>
          <w:ilvl w:val="0"/>
          <w:numId w:val="2"/>
        </w:numPr>
        <w:spacing w:after="40" w:before="40"/>
        <w:jc w:val="both"/>
      </w:pPr>
      <w:r>
        <w:rPr>
          <w:rFonts w:ascii="Arial" w:cs="Arial" w:eastAsia="Arial" w:hAnsi="Arial"/>
          <w:color w:val="333333"/>
          <w:sz w:val="20"/>
          <w:szCs w:val="20"/>
        </w:rPr>
        <w:t xml:space="preserve">Fase 1 – Discovery: Reunião(ões) para levantamento completo de regras de negócio, fluxos e requisitos técnicos;</w:t>
      </w:r>
    </w:p>
    <w:p>
      <w:pPr>
        <w:pStyle w:val="ListParagraph"/>
        <w:numPr>
          <w:ilvl w:val="0"/>
          <w:numId w:val="2"/>
        </w:numPr>
        <w:spacing w:after="40" w:before="40"/>
        <w:jc w:val="both"/>
      </w:pPr>
      <w:r>
        <w:rPr>
          <w:rFonts w:ascii="Arial" w:cs="Arial" w:eastAsia="Arial" w:hAnsi="Arial"/>
          <w:color w:val="333333"/>
          <w:sz w:val="20"/>
          <w:szCs w:val="20"/>
        </w:rPr>
        <w:t xml:space="preserve">Fase 2 – PRD: Elaboração e validação escrita do Documento de Requisitos do Produto pelo CONTRATANTE. O desenvolvimento não será iniciado antes da aprovação formal do PRD;</w:t>
      </w:r>
    </w:p>
    <w:p>
      <w:pPr>
        <w:pStyle w:val="ListParagraph"/>
        <w:numPr>
          <w:ilvl w:val="0"/>
          <w:numId w:val="2"/>
        </w:numPr>
        <w:spacing w:after="40" w:before="40"/>
        <w:jc w:val="both"/>
      </w:pPr>
      <w:r>
        <w:rPr>
          <w:rFonts w:ascii="Arial" w:cs="Arial" w:eastAsia="Arial" w:hAnsi="Arial"/>
          <w:color w:val="333333"/>
          <w:sz w:val="20"/>
          <w:szCs w:val="20"/>
        </w:rPr>
        <w:t xml:space="preserve">Fase 3 – Design Visual: Entrega de protótipo navegável (front-end estático) com todas as telas e fluxos para validação de layout e UX;</w:t>
      </w:r>
    </w:p>
    <w:p>
      <w:pPr>
        <w:pStyle w:val="ListParagraph"/>
        <w:numPr>
          <w:ilvl w:val="0"/>
          <w:numId w:val="2"/>
        </w:numPr>
        <w:spacing w:after="40" w:before="40"/>
        <w:jc w:val="both"/>
      </w:pPr>
      <w:r>
        <w:rPr>
          <w:rFonts w:ascii="Arial" w:cs="Arial" w:eastAsia="Arial" w:hAnsi="Arial"/>
          <w:color w:val="333333"/>
          <w:sz w:val="20"/>
          <w:szCs w:val="20"/>
        </w:rPr>
        <w:t xml:space="preserve">Fase 4 – Implementação: Desenvolvimento de lógica de negócio, back-end, banco de dados, integrações e infraestrutura;</w:t>
      </w:r>
    </w:p>
    <w:p>
      <w:pPr>
        <w:pStyle w:val="ListParagraph"/>
        <w:numPr>
          <w:ilvl w:val="0"/>
          <w:numId w:val="2"/>
        </w:numPr>
        <w:spacing w:after="40" w:before="40"/>
        <w:jc w:val="both"/>
      </w:pPr>
      <w:r>
        <w:rPr>
          <w:rFonts w:ascii="Arial" w:cs="Arial" w:eastAsia="Arial" w:hAnsi="Arial"/>
          <w:color w:val="333333"/>
          <w:sz w:val="20"/>
          <w:szCs w:val="20"/>
        </w:rPr>
        <w:t xml:space="preserve">Fase 5 – Testes e Aceite: Validação funcional, correções de bugs e entrega final.</w:t>
      </w:r>
    </w:p>
    <w:p>
      <w:pPr>
        <w:spacing w:after="60" w:before="60"/>
        <w:jc w:val="both"/>
      </w:pPr>
      <w:r>
        <w:rPr>
          <w:rFonts w:ascii="Arial" w:cs="Arial" w:eastAsia="Arial" w:hAnsi="Arial"/>
          <w:color w:val="333333"/>
          <w:sz w:val="20"/>
          <w:szCs w:val="20"/>
        </w:rPr>
        <w:t xml:space="preserve">6.2. Atualizações de progresso serão fornecidas ao CONTRATANTE periodicamente (no mínimo quinzenal), por meio de prints, vídeos de demonstração ou acesso ao ambiente de homologação.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7. Aprovações, Testes e Aceite</w:t>
      </w:r>
    </w:p>
    <w:p>
      <w:pPr>
        <w:spacing w:after="60" w:before="60"/>
        <w:jc w:val="both"/>
      </w:pPr>
      <w:r>
        <w:rPr>
          <w:rFonts w:ascii="Arial" w:cs="Arial" w:eastAsia="Arial" w:hAnsi="Arial"/>
          <w:color w:val="333333"/>
          <w:sz w:val="20"/>
          <w:szCs w:val="20"/>
        </w:rPr>
        <w:t xml:space="preserve">7.1. Cada entrega parcial ou final será submetida ao CONTRATANTE para validação conforme critérios objetivos definidos no PRD.</w:t>
      </w:r>
    </w:p>
    <w:p>
      <w:pPr>
        <w:spacing w:after="60" w:before="60"/>
        <w:jc w:val="both"/>
      </w:pPr>
      <w:r>
        <w:rPr>
          <w:rFonts w:ascii="Arial" w:cs="Arial" w:eastAsia="Arial" w:hAnsi="Arial"/>
          <w:color w:val="333333"/>
          <w:sz w:val="20"/>
          <w:szCs w:val="20"/>
        </w:rPr>
        <w:t xml:space="preserve">7.2. O CONTRATANTE deverá apresentar aprovação ou apontamentos fundamentados no prazo de 5 (cinco) dias úteis. O silêncio ou o uso em ambiente real após esse prazo caracterizarão aceite tácito.</w:t>
      </w:r>
    </w:p>
    <w:p>
      <w:pPr>
        <w:spacing w:after="60" w:before="60"/>
        <w:jc w:val="both"/>
      </w:pPr>
      <w:r>
        <w:rPr>
          <w:rFonts w:ascii="Arial" w:cs="Arial" w:eastAsia="Arial" w:hAnsi="Arial"/>
          <w:color w:val="333333"/>
          <w:sz w:val="20"/>
          <w:szCs w:val="20"/>
        </w:rPr>
        <w:t xml:space="preserve">7.3. Solicitações de ajuste decorrentes de preferência estética, mudança de entendimento, nova necessidade ou omissão de briefing não serão consideradas erro e poderão gerar reorçamento.</w:t>
      </w:r>
    </w:p>
    <w:p>
      <w:pPr>
        <w:spacing w:after="60" w:before="60"/>
        <w:jc w:val="both"/>
      </w:pPr>
      <w:r>
        <w:rPr>
          <w:rFonts w:ascii="Arial" w:cs="Arial" w:eastAsia="Arial" w:hAnsi="Arial"/>
          <w:color w:val="333333"/>
          <w:sz w:val="20"/>
          <w:szCs w:val="20"/>
        </w:rPr>
        <w:t xml:space="preserve">7.4. A entrega será considerada finalizada com o aceite final expresso ou tácito, formalizando-se por documento de vistoria de entrega assinado por ambas as partes.</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8. Alteração de Escopo</w:t>
      </w:r>
    </w:p>
    <w:p>
      <w:pPr>
        <w:spacing w:after="60" w:before="60"/>
        <w:jc w:val="both"/>
      </w:pPr>
      <w:r>
        <w:rPr>
          <w:rFonts w:ascii="Arial" w:cs="Arial" w:eastAsia="Arial" w:hAnsi="Arial"/>
          <w:color w:val="333333"/>
          <w:sz w:val="20"/>
          <w:szCs w:val="20"/>
        </w:rPr>
        <w:t xml:space="preserve">8.1. Qualquer solicitação que modifique funcionalidades, fluxo, layout, integrações, premissas, volume de dados, regras de negócio, tecnologia, cronograma ou responsabilidades originalmente aprovadas no PRD será tratada como alteração de escopo.</w:t>
      </w:r>
    </w:p>
    <w:p>
      <w:pPr>
        <w:spacing w:after="60" w:before="60"/>
        <w:jc w:val="both"/>
      </w:pPr>
      <w:r>
        <w:rPr>
          <w:rFonts w:ascii="Arial" w:cs="Arial" w:eastAsia="Arial" w:hAnsi="Arial"/>
          <w:color w:val="333333"/>
          <w:sz w:val="20"/>
          <w:szCs w:val="20"/>
        </w:rPr>
        <w:t xml:space="preserve">8.2. Alterações dependerão de aprovação escrita quanto a prazo, preço e impacto técnico.</w:t>
      </w:r>
    </w:p>
    <w:p>
      <w:pPr>
        <w:spacing w:after="60" w:before="60"/>
        <w:jc w:val="both"/>
      </w:pPr>
      <w:r>
        <w:rPr>
          <w:rFonts w:ascii="Arial" w:cs="Arial" w:eastAsia="Arial" w:hAnsi="Arial"/>
          <w:color w:val="333333"/>
          <w:sz w:val="20"/>
          <w:szCs w:val="20"/>
        </w:rPr>
        <w:t xml:space="preserve">8.3. O CONTRATADO não está obrigado a iniciar demandas fora do escopo antes da respectiva aprovação comercial e operacional.</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9. Obrigações do Contratante</w:t>
      </w:r>
    </w:p>
    <w:p>
      <w:pPr>
        <w:spacing w:after="60" w:before="60"/>
        <w:jc w:val="both"/>
      </w:pPr>
      <w:r>
        <w:rPr>
          <w:rFonts w:ascii="Arial" w:cs="Arial" w:eastAsia="Arial" w:hAnsi="Arial"/>
          <w:color w:val="333333"/>
          <w:sz w:val="20"/>
          <w:szCs w:val="20"/>
        </w:rPr>
        <w:t xml:space="preserve">9.1. Constituem obrigações do CONTRATANTE:</w:t>
      </w:r>
    </w:p>
    <w:p>
      <w:pPr>
        <w:pStyle w:val="ListParagraph"/>
        <w:numPr>
          <w:ilvl w:val="0"/>
          <w:numId w:val="2"/>
        </w:numPr>
        <w:spacing w:after="40" w:before="40"/>
        <w:jc w:val="both"/>
      </w:pPr>
      <w:r>
        <w:rPr>
          <w:rFonts w:ascii="Arial" w:cs="Arial" w:eastAsia="Arial" w:hAnsi="Arial"/>
          <w:color w:val="333333"/>
          <w:sz w:val="20"/>
          <w:szCs w:val="20"/>
        </w:rPr>
        <w:t xml:space="preserve">Fornecer informações verdadeiras, completas e tempestivas, incluindo fluxogramas, tabelas de preço/peso, vetores, fotos e demais materiais necessários;</w:t>
      </w:r>
    </w:p>
    <w:p>
      <w:pPr>
        <w:pStyle w:val="ListParagraph"/>
        <w:numPr>
          <w:ilvl w:val="0"/>
          <w:numId w:val="2"/>
        </w:numPr>
        <w:spacing w:after="40" w:before="40"/>
        <w:jc w:val="both"/>
      </w:pPr>
      <w:r>
        <w:rPr>
          <w:rFonts w:ascii="Arial" w:cs="Arial" w:eastAsia="Arial" w:hAnsi="Arial"/>
          <w:color w:val="333333"/>
          <w:sz w:val="20"/>
          <w:szCs w:val="20"/>
        </w:rPr>
        <w:t xml:space="preserve">Elaborar e entregar, antes do início do desenvolvimento, documento consolidado de regras de negócio por produto (pingentes, escapulários e demais peças), incluindo restrições de filtros e combinações inválidas;</w:t>
      </w:r>
    </w:p>
    <w:p>
      <w:pPr>
        <w:pStyle w:val="ListParagraph"/>
        <w:numPr>
          <w:ilvl w:val="0"/>
          <w:numId w:val="2"/>
        </w:numPr>
        <w:spacing w:after="40" w:before="40"/>
        <w:jc w:val="both"/>
      </w:pPr>
      <w:r>
        <w:rPr>
          <w:rFonts w:ascii="Arial" w:cs="Arial" w:eastAsia="Arial" w:hAnsi="Arial"/>
          <w:color w:val="333333"/>
          <w:sz w:val="20"/>
          <w:szCs w:val="20"/>
        </w:rPr>
        <w:t xml:space="preserve">Designar responsável com poder de decisão para centralizar aprovações e participar das reuniões de discovery;</w:t>
      </w:r>
    </w:p>
    <w:p>
      <w:pPr>
        <w:pStyle w:val="ListParagraph"/>
        <w:numPr>
          <w:ilvl w:val="0"/>
          <w:numId w:val="2"/>
        </w:numPr>
        <w:spacing w:after="40" w:before="40"/>
        <w:jc w:val="both"/>
      </w:pPr>
      <w:r>
        <w:rPr>
          <w:rFonts w:ascii="Arial" w:cs="Arial" w:eastAsia="Arial" w:hAnsi="Arial"/>
          <w:color w:val="333333"/>
          <w:sz w:val="20"/>
          <w:szCs w:val="20"/>
        </w:rPr>
        <w:t xml:space="preserve">Revisar e homologar entregas dentro dos prazos definidos;</w:t>
      </w:r>
    </w:p>
    <w:p>
      <w:pPr>
        <w:pStyle w:val="ListParagraph"/>
        <w:numPr>
          <w:ilvl w:val="0"/>
          <w:numId w:val="2"/>
        </w:numPr>
        <w:spacing w:after="40" w:before="40"/>
        <w:jc w:val="both"/>
      </w:pPr>
      <w:r>
        <w:rPr>
          <w:rFonts w:ascii="Arial" w:cs="Arial" w:eastAsia="Arial" w:hAnsi="Arial"/>
          <w:color w:val="333333"/>
          <w:sz w:val="20"/>
          <w:szCs w:val="20"/>
        </w:rPr>
        <w:t xml:space="preserve">Manter em dia todos os pagamentos contratados;</w:t>
      </w:r>
    </w:p>
    <w:p>
      <w:pPr>
        <w:pStyle w:val="ListParagraph"/>
        <w:numPr>
          <w:ilvl w:val="0"/>
          <w:numId w:val="2"/>
        </w:numPr>
        <w:spacing w:after="40" w:before="40"/>
        <w:jc w:val="both"/>
      </w:pPr>
      <w:r>
        <w:rPr>
          <w:rFonts w:ascii="Arial" w:cs="Arial" w:eastAsia="Arial" w:hAnsi="Arial"/>
          <w:color w:val="333333"/>
          <w:sz w:val="20"/>
          <w:szCs w:val="20"/>
        </w:rPr>
        <w:t xml:space="preserve">Contratar, às suas expensas, licenças de APIs de terceiros, conta Bling, gateway de pagamento, domínio, hospedagem própria e demais serviços externos não incluídos expressamente neste contrato.</w:t>
      </w:r>
    </w:p>
    <w:p>
      <w:pPr>
        <w:spacing w:after="140" w:before="340"/>
      </w:pPr>
      <w:r>
        <w:rPr>
          <w:rFonts w:ascii="Arial" w:cs="Arial" w:eastAsia="Arial" w:hAnsi="Arial"/>
          <w:b/>
          <w:bCs/>
          <w:caps/>
          <w:color w:val="1F3864"/>
          <w:sz w:val="24"/>
          <w:szCs w:val="24"/>
        </w:rPr>
        <w:t xml:space="preserve">10. Obrigações do Contratado</w:t>
      </w:r>
    </w:p>
    <w:p>
      <w:pPr>
        <w:spacing w:after="60" w:before="60"/>
        <w:jc w:val="both"/>
      </w:pPr>
      <w:r>
        <w:rPr>
          <w:rFonts w:ascii="Arial" w:cs="Arial" w:eastAsia="Arial" w:hAnsi="Arial"/>
          <w:color w:val="333333"/>
          <w:sz w:val="20"/>
          <w:szCs w:val="20"/>
        </w:rPr>
        <w:t xml:space="preserve">10.1. Constituem obrigações do CONTRATADO:</w:t>
      </w:r>
    </w:p>
    <w:p>
      <w:pPr>
        <w:pStyle w:val="ListParagraph"/>
        <w:numPr>
          <w:ilvl w:val="0"/>
          <w:numId w:val="2"/>
        </w:numPr>
        <w:spacing w:after="40" w:before="40"/>
        <w:jc w:val="both"/>
      </w:pPr>
      <w:r>
        <w:rPr>
          <w:rFonts w:ascii="Arial" w:cs="Arial" w:eastAsia="Arial" w:hAnsi="Arial"/>
          <w:color w:val="333333"/>
          <w:sz w:val="20"/>
          <w:szCs w:val="20"/>
        </w:rPr>
        <w:t xml:space="preserve">Executar os serviços com diligência técnica;</w:t>
      </w:r>
    </w:p>
    <w:p>
      <w:pPr>
        <w:pStyle w:val="ListParagraph"/>
        <w:numPr>
          <w:ilvl w:val="0"/>
          <w:numId w:val="2"/>
        </w:numPr>
        <w:spacing w:after="40" w:before="40"/>
        <w:jc w:val="both"/>
      </w:pPr>
      <w:r>
        <w:rPr>
          <w:rFonts w:ascii="Arial" w:cs="Arial" w:eastAsia="Arial" w:hAnsi="Arial"/>
          <w:color w:val="333333"/>
          <w:sz w:val="20"/>
          <w:szCs w:val="20"/>
        </w:rPr>
        <w:t xml:space="preserve">Realizar reunião de discovery e elaborar PRD para aprovação antes do início do desenvolvimento;</w:t>
      </w:r>
    </w:p>
    <w:p>
      <w:pPr>
        <w:pStyle w:val="ListParagraph"/>
        <w:numPr>
          <w:ilvl w:val="0"/>
          <w:numId w:val="2"/>
        </w:numPr>
        <w:spacing w:after="40" w:before="40"/>
        <w:jc w:val="both"/>
      </w:pPr>
      <w:r>
        <w:rPr>
          <w:rFonts w:ascii="Arial" w:cs="Arial" w:eastAsia="Arial" w:hAnsi="Arial"/>
          <w:color w:val="333333"/>
          <w:sz w:val="20"/>
          <w:szCs w:val="20"/>
        </w:rPr>
        <w:t xml:space="preserve">Fornecer atualizações periódicas de progresso;</w:t>
      </w:r>
    </w:p>
    <w:p>
      <w:pPr>
        <w:pStyle w:val="ListParagraph"/>
        <w:numPr>
          <w:ilvl w:val="0"/>
          <w:numId w:val="2"/>
        </w:numPr>
        <w:spacing w:after="40" w:before="40"/>
        <w:jc w:val="both"/>
      </w:pPr>
      <w:r>
        <w:rPr>
          <w:rFonts w:ascii="Arial" w:cs="Arial" w:eastAsia="Arial" w:hAnsi="Arial"/>
          <w:color w:val="333333"/>
          <w:sz w:val="20"/>
          <w:szCs w:val="20"/>
        </w:rPr>
        <w:t xml:space="preserve">Manter sigilo sobre informações confidenciais;</w:t>
      </w:r>
    </w:p>
    <w:p>
      <w:pPr>
        <w:pStyle w:val="ListParagraph"/>
        <w:numPr>
          <w:ilvl w:val="0"/>
          <w:numId w:val="2"/>
        </w:numPr>
        <w:spacing w:after="40" w:before="40"/>
        <w:jc w:val="both"/>
      </w:pPr>
      <w:r>
        <w:rPr>
          <w:rFonts w:ascii="Arial" w:cs="Arial" w:eastAsia="Arial" w:hAnsi="Arial"/>
          <w:color w:val="333333"/>
          <w:sz w:val="20"/>
          <w:szCs w:val="20"/>
        </w:rPr>
        <w:t xml:space="preserve">Corrigir, dentro do período de garantia, os erros enquadrados na Cláusula 13.</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11. Preço, Condições de Pagamento e Inadimplemento</w:t>
      </w:r>
    </w:p>
    <w:p>
      <w:pPr>
        <w:spacing w:after="60" w:before="60"/>
        <w:jc w:val="both"/>
      </w:pPr>
      <w:r>
        <w:rPr>
          <w:rFonts w:ascii="Arial" w:cs="Arial" w:eastAsia="Arial" w:hAnsi="Arial"/>
          <w:color w:val="333333"/>
          <w:sz w:val="20"/>
          <w:szCs w:val="20"/>
        </w:rPr>
        <w:t xml:space="preserve">11.1. Pelos serviços de desenvolvimento contratados, o CONTRATANTE pagará ao CONTRATADO o valor total de R$ 10.000,00 (dez mil reais), de forma integral e à vista, mediante PIX ou transferência bancária, no ato da assinatura deste contrato. O início efetivo dos trabalhos está condicionado à confirmação do recebimento do pagamento.</w:t>
      </w:r>
    </w:p>
    <w:p>
      <w:pPr>
        <w:spacing w:after="60" w:before="60"/>
        <w:jc w:val="both"/>
      </w:pPr>
      <w:r>
        <w:rPr>
          <w:rFonts w:ascii="Arial" w:cs="Arial" w:eastAsia="Arial" w:hAnsi="Arial"/>
          <w:color w:val="333333"/>
          <w:sz w:val="20"/>
          <w:szCs w:val="20"/>
        </w:rPr>
        <w:t xml:space="preserve">11.2. Valores pagos não são reembolsáveis em razão de serviços já executados, horas técnicas consumidas, etapas entregues, reserva de agenda, discovery, arquitetura, documentação ou custos irrevogáveis.</w:t>
      </w:r>
    </w:p>
    <w:p>
      <w:pPr>
        <w:spacing w:after="60" w:before="60"/>
        <w:jc w:val="both"/>
      </w:pPr>
      <w:r>
        <w:rPr>
          <w:rFonts w:ascii="Arial" w:cs="Arial" w:eastAsia="Arial" w:hAnsi="Arial"/>
          <w:color w:val="333333"/>
          <w:sz w:val="20"/>
          <w:szCs w:val="20"/>
        </w:rPr>
        <w:t xml:space="preserve">11.3. Dados bancários para pagamento:</w:t>
      </w:r>
    </w:p>
    <w:p>
      <w:pPr>
        <w:pStyle w:val="ListParagraph"/>
        <w:numPr>
          <w:ilvl w:val="0"/>
          <w:numId w:val="2"/>
        </w:numPr>
        <w:spacing w:after="40" w:before="40"/>
        <w:jc w:val="both"/>
      </w:pPr>
      <w:r>
        <w:rPr>
          <w:rFonts w:ascii="Arial" w:cs="Arial" w:eastAsia="Arial" w:hAnsi="Arial"/>
          <w:color w:val="333333"/>
          <w:sz w:val="20"/>
          <w:szCs w:val="20"/>
        </w:rPr>
        <w:t xml:space="preserve">Favorecido: IMPULSO TECH DESENVOLVIMENTO LTDA</w:t>
      </w:r>
    </w:p>
    <w:p>
      <w:pPr>
        <w:pStyle w:val="ListParagraph"/>
        <w:numPr>
          <w:ilvl w:val="0"/>
          <w:numId w:val="2"/>
        </w:numPr>
        <w:spacing w:after="40" w:before="40"/>
        <w:jc w:val="both"/>
      </w:pPr>
      <w:r>
        <w:rPr>
          <w:rFonts w:ascii="Arial" w:cs="Arial" w:eastAsia="Arial" w:hAnsi="Arial"/>
          <w:color w:val="333333"/>
          <w:sz w:val="20"/>
          <w:szCs w:val="20"/>
        </w:rPr>
        <w:t xml:space="preserve">CNPJ: 47.077.981/0001-39</w:t>
      </w:r>
    </w:p>
    <w:p>
      <w:pPr>
        <w:pStyle w:val="ListParagraph"/>
        <w:numPr>
          <w:ilvl w:val="0"/>
          <w:numId w:val="2"/>
        </w:numPr>
        <w:spacing w:after="40" w:before="40"/>
        <w:jc w:val="both"/>
      </w:pPr>
      <w:r>
        <w:rPr>
          <w:rFonts w:ascii="Arial" w:cs="Arial" w:eastAsia="Arial" w:hAnsi="Arial"/>
          <w:color w:val="333333"/>
          <w:sz w:val="20"/>
          <w:szCs w:val="20"/>
        </w:rPr>
        <w:t xml:space="preserve">Chave PIX: [PIX DO CONTRATADO]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12. Despesas, Licenças e Terceiros</w:t>
      </w:r>
    </w:p>
    <w:p>
      <w:pPr>
        <w:spacing w:after="60" w:before="60"/>
        <w:jc w:val="both"/>
      </w:pPr>
      <w:r>
        <w:rPr>
          <w:rFonts w:ascii="Arial" w:cs="Arial" w:eastAsia="Arial" w:hAnsi="Arial"/>
          <w:color w:val="333333"/>
          <w:sz w:val="20"/>
          <w:szCs w:val="20"/>
        </w:rPr>
        <w:t xml:space="preserve">12.1. Despesas extraordinárias, APIs pagas (incluindo API de cotação de ouro), conta Bling, gateway de pagamento, VPS ou hospedagem própria, domínio, certificados SSL, templates ou bibliotecas premium e demais insumos externos correrão por conta exclusiva do CONTRATANTE, salvo quando expressamente incluídos na proposta.</w:t>
      </w:r>
    </w:p>
    <w:p>
      <w:pPr>
        <w:spacing w:after="60" w:before="60"/>
        <w:jc w:val="both"/>
      </w:pPr>
      <w:r>
        <w:rPr>
          <w:rFonts w:ascii="Arial" w:cs="Arial" w:eastAsia="Arial" w:hAnsi="Arial"/>
          <w:color w:val="333333"/>
          <w:sz w:val="20"/>
          <w:szCs w:val="20"/>
        </w:rPr>
        <w:t xml:space="preserve">12.2. O CONTRATADO não responde por alteração de preço, indisponibilidade, bloqueio, limitação técnica ou descontinuação de qualquer serviço de terceiro.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13. Garantia Contratual</w:t>
      </w:r>
    </w:p>
    <w:p>
      <w:pPr>
        <w:spacing w:after="60" w:before="60"/>
        <w:jc w:val="both"/>
      </w:pPr>
      <w:r>
        <w:rPr>
          <w:rFonts w:ascii="Arial" w:cs="Arial" w:eastAsia="Arial" w:hAnsi="Arial"/>
          <w:color w:val="333333"/>
          <w:sz w:val="20"/>
          <w:szCs w:val="20"/>
        </w:rPr>
        <w:t xml:space="preserve">13.1. Garantia significa a correção, sem cobrança adicional, de erro reproduzível cuja causa decorra de implementação executada pelo CONTRATADO em desacordo com o PRD aprovado.</w:t>
      </w:r>
    </w:p>
    <w:p>
      <w:pPr>
        <w:spacing w:after="60" w:before="60"/>
        <w:jc w:val="both"/>
      </w:pPr>
      <w:r>
        <w:rPr>
          <w:rFonts w:ascii="Arial" w:cs="Arial" w:eastAsia="Arial" w:hAnsi="Arial"/>
          <w:color w:val="333333"/>
          <w:sz w:val="20"/>
          <w:szCs w:val="20"/>
        </w:rPr>
        <w:t xml:space="preserve">13.2. A garantia terá vigência de 90 (noventa) dias corridos contados do aceite final, conforme alinhado em reunião de 09/04/2026.</w:t>
      </w:r>
    </w:p>
    <w:p>
      <w:pPr>
        <w:spacing w:after="60" w:before="60"/>
        <w:jc w:val="both"/>
      </w:pPr>
      <w:r>
        <w:rPr>
          <w:rFonts w:ascii="Arial" w:cs="Arial" w:eastAsia="Arial" w:hAnsi="Arial"/>
          <w:color w:val="333333"/>
          <w:sz w:val="20"/>
          <w:szCs w:val="20"/>
        </w:rPr>
        <w:t xml:space="preserve">13.3. A garantia não abrange: criação ou alteração de funcionalidades; ajustes por mudança de preferência; falhas causadas por uso indevido ou alteração por terceiros; erros em plataformas, APIs, browsers ou infraestrutura de terceiros; saneamento de dados do CONTRATANTE.</w:t>
      </w:r>
    </w:p>
    <w:p>
      <w:pPr>
        <w:spacing w:after="60" w:before="60"/>
        <w:jc w:val="both"/>
      </w:pPr>
      <w:r>
        <w:rPr>
          <w:rFonts w:ascii="Arial" w:cs="Arial" w:eastAsia="Arial" w:hAnsi="Arial"/>
          <w:color w:val="333333"/>
          <w:sz w:val="20"/>
          <w:szCs w:val="20"/>
        </w:rPr>
        <w:t xml:space="preserve">13.4. Após o prazo de garantia, qualquer ajuste dependerá de contrato de manutenção ativo (Cláusula 21) ou contratação específica.</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14. Propriedade Intelectual</w:t>
      </w:r>
    </w:p>
    <w:p>
      <w:pPr>
        <w:spacing w:after="60" w:before="60"/>
        <w:jc w:val="both"/>
      </w:pPr>
      <w:r>
        <w:rPr>
          <w:rFonts w:ascii="Arial" w:cs="Arial" w:eastAsia="Arial" w:hAnsi="Arial"/>
          <w:color w:val="333333"/>
          <w:sz w:val="20"/>
          <w:szCs w:val="20"/>
        </w:rPr>
        <w:t xml:space="preserve">14.1. A titularidade patrimonial dos entregáveis customizados será transferida ao CONTRATANTE somente após a quitação integral de todos os valores devidos.</w:t>
      </w:r>
    </w:p>
    <w:p>
      <w:pPr>
        <w:spacing w:after="60" w:before="60"/>
        <w:jc w:val="both"/>
      </w:pPr>
      <w:r>
        <w:rPr>
          <w:rFonts w:ascii="Arial" w:cs="Arial" w:eastAsia="Arial" w:hAnsi="Arial"/>
          <w:color w:val="333333"/>
          <w:sz w:val="20"/>
          <w:szCs w:val="20"/>
        </w:rPr>
        <w:t xml:space="preserve">14.2. Permanecem de titularidade exclusiva do CONTRATADO: metodologias, frameworks, componentes genéricos, bibliotecas internas, know-how, estruturas, padrões e ativos preexistentes de uso genérico.</w:t>
      </w:r>
    </w:p>
    <w:p>
      <w:pPr>
        <w:spacing w:after="60" w:before="60"/>
        <w:jc w:val="both"/>
      </w:pPr>
      <w:r>
        <w:rPr>
          <w:rFonts w:ascii="Arial" w:cs="Arial" w:eastAsia="Arial" w:hAnsi="Arial"/>
          <w:color w:val="333333"/>
          <w:sz w:val="20"/>
          <w:szCs w:val="20"/>
        </w:rPr>
        <w:t xml:space="preserve">14.3. Enquanto houver inadimplência, o CONTRATANTE não poderá exigir transferência de código-fonte, credenciais administrativas, backups ou publicação definitiva.</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15. Confidencialidade e Proteção de Dados</w:t>
      </w:r>
    </w:p>
    <w:p>
      <w:pPr>
        <w:spacing w:after="60" w:before="60"/>
        <w:jc w:val="both"/>
      </w:pPr>
      <w:r>
        <w:rPr>
          <w:rFonts w:ascii="Arial" w:cs="Arial" w:eastAsia="Arial" w:hAnsi="Arial"/>
          <w:color w:val="333333"/>
          <w:sz w:val="20"/>
          <w:szCs w:val="20"/>
        </w:rPr>
        <w:t xml:space="preserve">15.1. As partes obrigam-se a manter sigilo sobre dados, documentos, estratégias, especificações técnicas, regras de negócio, credenciais e informações confidenciais a que tiverem acesso em razão deste contrato.</w:t>
      </w:r>
    </w:p>
    <w:p>
      <w:pPr>
        <w:spacing w:after="60" w:before="60"/>
        <w:jc w:val="both"/>
      </w:pPr>
      <w:r>
        <w:rPr>
          <w:rFonts w:ascii="Arial" w:cs="Arial" w:eastAsia="Arial" w:hAnsi="Arial"/>
          <w:color w:val="333333"/>
          <w:sz w:val="20"/>
          <w:szCs w:val="20"/>
        </w:rPr>
        <w:t xml:space="preserve">15.2. Se houver tratamento de dados pessoais, as partes comprometem-se a observar a LGPD, cada qual na extensão de sua atuação.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16. Limitação de Responsabilidade</w:t>
      </w:r>
    </w:p>
    <w:p>
      <w:pPr>
        <w:spacing w:after="60" w:before="60"/>
        <w:jc w:val="both"/>
      </w:pPr>
      <w:r>
        <w:rPr>
          <w:rFonts w:ascii="Arial" w:cs="Arial" w:eastAsia="Arial" w:hAnsi="Arial"/>
          <w:color w:val="333333"/>
          <w:sz w:val="20"/>
          <w:szCs w:val="20"/>
        </w:rPr>
        <w:t xml:space="preserve">16.1. Salvo dolo ou fraude comprovada, a responsabilidade do CONTRATADO fica limitada ao valor efetivamente pago pelo CONTRATANTE no âmbito deste contrato.</w:t>
      </w:r>
    </w:p>
    <w:p>
      <w:pPr>
        <w:spacing w:after="60" w:before="60"/>
        <w:jc w:val="both"/>
      </w:pPr>
      <w:r>
        <w:rPr>
          <w:rFonts w:ascii="Arial" w:cs="Arial" w:eastAsia="Arial" w:hAnsi="Arial"/>
          <w:color w:val="333333"/>
          <w:sz w:val="20"/>
          <w:szCs w:val="20"/>
        </w:rPr>
        <w:t xml:space="preserve">16.2. O CONTRATADO não responderá por lucros cessantes, perda de chance, danos indiretos, bloqueios de conta de terceiros, perda de dados sob guarda do CONTRATANTE ou qualquer prejuízo decorrente de fato alheio ao seu controle técnico direto.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17. Rescisão</w:t>
      </w:r>
    </w:p>
    <w:p>
      <w:pPr>
        <w:spacing w:after="60" w:before="60"/>
        <w:jc w:val="both"/>
      </w:pPr>
      <w:r>
        <w:rPr>
          <w:rFonts w:ascii="Arial" w:cs="Arial" w:eastAsia="Arial" w:hAnsi="Arial"/>
          <w:color w:val="333333"/>
          <w:sz w:val="20"/>
          <w:szCs w:val="20"/>
        </w:rPr>
        <w:t xml:space="preserve">17.1. O contrato poderá ser rescindido por mútuo acordo ou por inadimplemento contratual não sanado em 10 dias após notificação escrita.</w:t>
      </w:r>
    </w:p>
    <w:p>
      <w:pPr>
        <w:spacing w:after="60" w:before="60"/>
        <w:jc w:val="both"/>
      </w:pPr>
      <w:r>
        <w:rPr>
          <w:rFonts w:ascii="Arial" w:cs="Arial" w:eastAsia="Arial" w:hAnsi="Arial"/>
          <w:color w:val="333333"/>
          <w:sz w:val="20"/>
          <w:szCs w:val="20"/>
        </w:rPr>
        <w:t xml:space="preserve">17.2. Em caso de rescisão imotivada pelo CONTRATANTE, serão imediatamente exigíveis: (a) valores vencidos e não pagos; (b) valores proporcionais aos serviços já executados; (c) custos irreversíveis já assumidos.</w:t>
      </w:r>
    </w:p>
    <w:p>
      <w:pPr>
        <w:spacing w:after="60" w:before="60"/>
        <w:jc w:val="both"/>
      </w:pPr>
      <w:r>
        <w:rPr>
          <w:rFonts w:ascii="Arial" w:cs="Arial" w:eastAsia="Arial" w:hAnsi="Arial"/>
          <w:color w:val="333333"/>
          <w:sz w:val="20"/>
          <w:szCs w:val="20"/>
        </w:rPr>
        <w:t xml:space="preserve">17.3. A rescisão do contrato de desenvolvimento não implica rescisão automática do contrato de manutenção (Cláusula 21), que possui regras próprias de vigência e rescisão.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18. Comunicações e Provas</w:t>
      </w:r>
    </w:p>
    <w:p>
      <w:pPr>
        <w:spacing w:after="60" w:before="60"/>
        <w:jc w:val="both"/>
      </w:pPr>
      <w:r>
        <w:rPr>
          <w:rFonts w:ascii="Arial" w:cs="Arial" w:eastAsia="Arial" w:hAnsi="Arial"/>
          <w:color w:val="333333"/>
          <w:sz w:val="20"/>
          <w:szCs w:val="20"/>
        </w:rPr>
        <w:t xml:space="preserve">18.1. As partes reconhecem como válidas as comunicações realizadas por e-mail, mensageria via WhatsApp (grupo de projeto), plataforma de gestão e demais meios que permitam comprovação de autoria.</w:t>
      </w:r>
    </w:p>
    <w:p>
      <w:pPr>
        <w:spacing w:after="60" w:before="60"/>
        <w:jc w:val="both"/>
      </w:pPr>
      <w:r>
        <w:rPr>
          <w:rFonts w:ascii="Arial" w:cs="Arial" w:eastAsia="Arial" w:hAnsi="Arial"/>
          <w:color w:val="333333"/>
          <w:sz w:val="20"/>
          <w:szCs w:val="20"/>
        </w:rPr>
        <w:t xml:space="preserve">18.2. Aprovações de escopo, cronograma, layout e alterações comerciais poderão ocorrer por meio eletrônico e produzirão todos os efeitos contratuais.</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19. Disposições Gerais</w:t>
      </w:r>
    </w:p>
    <w:p>
      <w:pPr>
        <w:spacing w:after="60" w:before="60"/>
        <w:jc w:val="both"/>
      </w:pPr>
      <w:r>
        <w:rPr>
          <w:rFonts w:ascii="Arial" w:cs="Arial" w:eastAsia="Arial" w:hAnsi="Arial"/>
          <w:color w:val="333333"/>
          <w:sz w:val="20"/>
          <w:szCs w:val="20"/>
        </w:rPr>
        <w:t xml:space="preserve">19.1. A eventual tolerância de uma parte quanto ao descumprimento da outra não importará novação ou renúncia de direito.</w:t>
      </w:r>
    </w:p>
    <w:p>
      <w:pPr>
        <w:spacing w:after="60" w:before="60"/>
        <w:jc w:val="both"/>
      </w:pPr>
      <w:r>
        <w:rPr>
          <w:rFonts w:ascii="Arial" w:cs="Arial" w:eastAsia="Arial" w:hAnsi="Arial"/>
          <w:color w:val="333333"/>
          <w:sz w:val="20"/>
          <w:szCs w:val="20"/>
        </w:rPr>
        <w:t xml:space="preserve">19.2. A nulidade de qualquer disposição não prejudicará as demais cláusulas.</w:t>
      </w:r>
    </w:p>
    <w:p>
      <w:pPr>
        <w:spacing w:after="60" w:before="60"/>
        <w:jc w:val="both"/>
      </w:pPr>
      <w:r>
        <w:rPr>
          <w:rFonts w:ascii="Arial" w:cs="Arial" w:eastAsia="Arial" w:hAnsi="Arial"/>
          <w:color w:val="333333"/>
          <w:sz w:val="20"/>
          <w:szCs w:val="20"/>
        </w:rPr>
        <w:t xml:space="preserve">19.3. Este contrato substitui entendimentos anteriores sobre o mesmo objeto e somente poderá ser alterado por instrumento escrito ou meio eletrônico inequívoco.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20. Foro</w:t>
      </w:r>
    </w:p>
    <w:p>
      <w:pPr>
        <w:spacing w:after="60" w:before="60"/>
        <w:jc w:val="both"/>
      </w:pPr>
      <w:r>
        <w:rPr>
          <w:rFonts w:ascii="Arial" w:cs="Arial" w:eastAsia="Arial" w:hAnsi="Arial"/>
          <w:color w:val="333333"/>
          <w:sz w:val="20"/>
          <w:szCs w:val="20"/>
        </w:rPr>
        <w:t xml:space="preserve">20.1. Fica eleito o foro da Comarca de Nova Iguaçu – RJ, com renúncia a qualquer outro, por mais privilegiado que seja, para dirimir controvérsias oriundas deste contrato.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21. Contrato de Manutenção com Fidelidade (Cláusula Especial)</w:t>
      </w:r>
    </w:p>
    <w:p>
      <w:pPr>
        <w:spacing w:after="60" w:before="60"/>
        <w:jc w:val="both"/>
      </w:pPr>
      <w:r>
        <w:rPr>
          <w:rFonts w:ascii="Arial" w:cs="Arial" w:eastAsia="Arial" w:hAnsi="Arial"/>
          <w:color w:val="333333"/>
          <w:sz w:val="20"/>
          <w:szCs w:val="20"/>
        </w:rPr>
        <w:t xml:space="preserve">21.1. As partes acordam, de forma integrada a este contrato, a prestação de serviços continuados de manutenção, suporte e evolução da plataforma, nos seguintes termos:</w:t>
      </w:r>
    </w:p>
    <w:p>
      <w:pPr>
        <w:spacing w:after="60" w:before="60"/>
        <w:jc w:val="both"/>
      </w:pPr>
      <w:r>
        <w:rPr>
          <w:rFonts w:ascii="Arial" w:cs="Arial" w:eastAsia="Arial" w:hAnsi="Arial"/>
          <w:color w:val="333333"/>
          <w:sz w:val="20"/>
          <w:szCs w:val="20"/>
        </w:rPr>
        <w:t xml:space="preserve">21.2. VIGÊNCIA E FIDELIDADE: O contrato de manutenção terá vigência mínima de 48 (quarenta e oito) meses, contados da data do aceite final da entrega do desenvolvimento. A fidelidade de 48 meses é condição essencial para a aplicação dos valores diferenciados acordados.</w:t>
      </w:r>
    </w:p>
    <w:p>
      <w:pPr>
        <w:spacing w:after="60" w:before="60"/>
        <w:jc w:val="both"/>
      </w:pPr>
      <w:r>
        <w:rPr>
          <w:rFonts w:ascii="Arial" w:cs="Arial" w:eastAsia="Arial" w:hAnsi="Arial"/>
          <w:color w:val="333333"/>
          <w:sz w:val="20"/>
          <w:szCs w:val="20"/>
        </w:rPr>
        <w:t xml:space="preserve">21.3. VALOR E REAJUSTE:</w:t>
      </w:r>
    </w:p>
    <w:p>
      <w:pPr>
        <w:pStyle w:val="ListParagraph"/>
        <w:numPr>
          <w:ilvl w:val="0"/>
          <w:numId w:val="2"/>
        </w:numPr>
        <w:spacing w:after="40" w:before="40"/>
        <w:jc w:val="both"/>
      </w:pPr>
      <w:r>
        <w:rPr>
          <w:rFonts w:ascii="Arial" w:cs="Arial" w:eastAsia="Arial" w:hAnsi="Arial"/>
          <w:color w:val="333333"/>
          <w:sz w:val="20"/>
          <w:szCs w:val="20"/>
        </w:rPr>
        <w:t xml:space="preserve">1º Ano (meses 1 a 12): R$ 500,00/mês;</w:t>
      </w:r>
    </w:p>
    <w:p>
      <w:pPr>
        <w:pStyle w:val="ListParagraph"/>
        <w:numPr>
          <w:ilvl w:val="0"/>
          <w:numId w:val="2"/>
        </w:numPr>
        <w:spacing w:after="40" w:before="40"/>
        <w:jc w:val="both"/>
      </w:pPr>
      <w:r>
        <w:rPr>
          <w:rFonts w:ascii="Arial" w:cs="Arial" w:eastAsia="Arial" w:hAnsi="Arial"/>
          <w:color w:val="333333"/>
          <w:sz w:val="20"/>
          <w:szCs w:val="20"/>
        </w:rPr>
        <w:t xml:space="preserve">2º Ano (meses 13 a 24): valor do 1º ano reajustado pelo IPCA acumulado dos 12 meses anteriores;</w:t>
      </w:r>
    </w:p>
    <w:p>
      <w:pPr>
        <w:pStyle w:val="ListParagraph"/>
        <w:numPr>
          <w:ilvl w:val="0"/>
          <w:numId w:val="2"/>
        </w:numPr>
        <w:spacing w:after="40" w:before="40"/>
        <w:jc w:val="both"/>
      </w:pPr>
      <w:r>
        <w:rPr>
          <w:rFonts w:ascii="Arial" w:cs="Arial" w:eastAsia="Arial" w:hAnsi="Arial"/>
          <w:color w:val="333333"/>
          <w:sz w:val="20"/>
          <w:szCs w:val="20"/>
        </w:rPr>
        <w:t xml:space="preserve">3º Ano (meses 25 a 36): valor do 2º ano reajustado pelo IPCA acumulado dos 12 meses anteriores;</w:t>
      </w:r>
    </w:p>
    <w:p>
      <w:pPr>
        <w:pStyle w:val="ListParagraph"/>
        <w:numPr>
          <w:ilvl w:val="0"/>
          <w:numId w:val="2"/>
        </w:numPr>
        <w:spacing w:after="40" w:before="40"/>
        <w:jc w:val="both"/>
      </w:pPr>
      <w:r>
        <w:rPr>
          <w:rFonts w:ascii="Arial" w:cs="Arial" w:eastAsia="Arial" w:hAnsi="Arial"/>
          <w:color w:val="333333"/>
          <w:sz w:val="20"/>
          <w:szCs w:val="20"/>
        </w:rPr>
        <w:t xml:space="preserve">4º Ano (meses 37 a 48): valor do 3º ano reajustado pelo IPCA acumulado dos 12 meses anteriores.</w:t>
      </w:r>
    </w:p>
    <w:p>
      <w:pPr>
        <w:pStyle w:val="ListParagraph"/>
        <w:numPr>
          <w:ilvl w:val="0"/>
          <w:numId w:val="2"/>
        </w:numPr>
        <w:spacing w:after="40" w:before="40"/>
        <w:jc w:val="both"/>
      </w:pPr>
      <w:r>
        <w:rPr>
          <w:rFonts w:ascii="Arial" w:cs="Arial" w:eastAsia="Arial" w:hAnsi="Arial"/>
          <w:color w:val="333333"/>
          <w:sz w:val="20"/>
          <w:szCs w:val="20"/>
        </w:rPr>
        <w:t xml:space="preserve">Na ausência do IPCA, aplicar-se-á o INPC como índice substituto.</w:t>
      </w:r>
    </w:p>
    <w:p>
      <w:pPr>
        <w:spacing w:after="60" w:before="60"/>
        <w:jc w:val="both"/>
      </w:pPr>
      <w:r>
        <w:rPr>
          <w:rFonts w:ascii="Arial" w:cs="Arial" w:eastAsia="Arial" w:hAnsi="Arial"/>
          <w:color w:val="333333"/>
          <w:sz w:val="20"/>
          <w:szCs w:val="20"/>
        </w:rPr>
        <w:t xml:space="preserve">21.4. PAGAMENTO DA MANUTENÇÃO: Mensal, vencendo todo dia [__] de cada mês, a partir do primeiro mês após o aceite final do desenvolvimento, via PIX ou transferência bancária.</w:t>
      </w:r>
    </w:p>
    <w:p>
      <w:pPr>
        <w:spacing w:after="60" w:before="60"/>
        <w:jc w:val="both"/>
      </w:pPr>
      <w:r>
        <w:rPr>
          <w:rFonts w:ascii="Arial" w:cs="Arial" w:eastAsia="Arial" w:hAnsi="Arial"/>
          <w:color w:val="333333"/>
          <w:sz w:val="20"/>
          <w:szCs w:val="20"/>
        </w:rPr>
        <w:t xml:space="preserve">21.5. SERVIÇOS INCLUÍDOS NA MANUTENÇÃO:</w:t>
      </w:r>
    </w:p>
    <w:p>
      <w:pPr>
        <w:pStyle w:val="ListParagraph"/>
        <w:numPr>
          <w:ilvl w:val="0"/>
          <w:numId w:val="2"/>
        </w:numPr>
        <w:spacing w:after="40" w:before="40"/>
        <w:jc w:val="both"/>
      </w:pPr>
      <w:r>
        <w:rPr>
          <w:rFonts w:ascii="Arial" w:cs="Arial" w:eastAsia="Arial" w:hAnsi="Arial"/>
          <w:color w:val="333333"/>
          <w:sz w:val="20"/>
          <w:szCs w:val="20"/>
        </w:rPr>
        <w:t xml:space="preserve">Correção de bugs identificados em funcionalidades entregues e dentro do escopo aprovado;</w:t>
      </w:r>
    </w:p>
    <w:p>
      <w:pPr>
        <w:pStyle w:val="ListParagraph"/>
        <w:numPr>
          <w:ilvl w:val="0"/>
          <w:numId w:val="2"/>
        </w:numPr>
        <w:spacing w:after="40" w:before="40"/>
        <w:jc w:val="both"/>
      </w:pPr>
      <w:r>
        <w:rPr>
          <w:rFonts w:ascii="Arial" w:cs="Arial" w:eastAsia="Arial" w:hAnsi="Arial"/>
          <w:color w:val="333333"/>
          <w:sz w:val="20"/>
          <w:szCs w:val="20"/>
        </w:rPr>
        <w:t xml:space="preserve">Monitoramento de disponibilidade e atualização de dependências críticas de segurança;</w:t>
      </w:r>
    </w:p>
    <w:p>
      <w:pPr>
        <w:pStyle w:val="ListParagraph"/>
        <w:numPr>
          <w:ilvl w:val="0"/>
          <w:numId w:val="2"/>
        </w:numPr>
        <w:spacing w:after="40" w:before="40"/>
        <w:jc w:val="both"/>
      </w:pPr>
      <w:r>
        <w:rPr>
          <w:rFonts w:ascii="Arial" w:cs="Arial" w:eastAsia="Arial" w:hAnsi="Arial"/>
          <w:color w:val="333333"/>
          <w:sz w:val="20"/>
          <w:szCs w:val="20"/>
        </w:rPr>
        <w:t xml:space="preserve">Suporte técnico para dúvidas operacionais (atendimento em dias úteis, resposta em até 48h);</w:t>
      </w:r>
    </w:p>
    <w:p>
      <w:pPr>
        <w:pStyle w:val="ListParagraph"/>
        <w:numPr>
          <w:ilvl w:val="0"/>
          <w:numId w:val="2"/>
        </w:numPr>
        <w:spacing w:after="40" w:before="40"/>
        <w:jc w:val="both"/>
      </w:pPr>
      <w:r>
        <w:rPr>
          <w:rFonts w:ascii="Arial" w:cs="Arial" w:eastAsia="Arial" w:hAnsi="Arial"/>
          <w:color w:val="333333"/>
          <w:sz w:val="20"/>
          <w:szCs w:val="20"/>
        </w:rPr>
        <w:t xml:space="preserve">Até [__] horas mensais de ajustes menores, conforme definido em proposta complementar.</w:t>
      </w:r>
    </w:p>
    <w:p>
      <w:pPr>
        <w:spacing w:after="60" w:before="60"/>
        <w:jc w:val="both"/>
      </w:pPr>
      <w:r>
        <w:rPr>
          <w:rFonts w:ascii="Arial" w:cs="Arial" w:eastAsia="Arial" w:hAnsi="Arial"/>
          <w:color w:val="333333"/>
          <w:sz w:val="20"/>
          <w:szCs w:val="20"/>
        </w:rPr>
        <w:t xml:space="preserve">21.6. SERVIÇOS NÃO INCLUÍDOS NA MANUTENÇÃO (exigem pacote adicional):</w:t>
      </w:r>
    </w:p>
    <w:p>
      <w:pPr>
        <w:pStyle w:val="ListParagraph"/>
        <w:numPr>
          <w:ilvl w:val="0"/>
          <w:numId w:val="2"/>
        </w:numPr>
        <w:spacing w:after="40" w:before="40"/>
        <w:jc w:val="both"/>
      </w:pPr>
      <w:r>
        <w:rPr>
          <w:rFonts w:ascii="Arial" w:cs="Arial" w:eastAsia="Arial" w:hAnsi="Arial"/>
          <w:color w:val="333333"/>
          <w:sz w:val="20"/>
          <w:szCs w:val="20"/>
        </w:rPr>
        <w:t xml:space="preserve">Novas funcionalidades, integrações adicionais ou módulos não previstos no escopo original;</w:t>
      </w:r>
    </w:p>
    <w:p>
      <w:pPr>
        <w:pStyle w:val="ListParagraph"/>
        <w:numPr>
          <w:ilvl w:val="0"/>
          <w:numId w:val="2"/>
        </w:numPr>
        <w:spacing w:after="40" w:before="40"/>
        <w:jc w:val="both"/>
      </w:pPr>
      <w:r>
        <w:rPr>
          <w:rFonts w:ascii="Arial" w:cs="Arial" w:eastAsia="Arial" w:hAnsi="Arial"/>
          <w:color w:val="333333"/>
          <w:sz w:val="20"/>
          <w:szCs w:val="20"/>
        </w:rPr>
        <w:t xml:space="preserve">Redesign de telas ou alterações de UX por preferência do CONTRATANTE;</w:t>
      </w:r>
    </w:p>
    <w:p>
      <w:pPr>
        <w:pStyle w:val="ListParagraph"/>
        <w:numPr>
          <w:ilvl w:val="0"/>
          <w:numId w:val="2"/>
        </w:numPr>
        <w:spacing w:after="40" w:before="40"/>
        <w:jc w:val="both"/>
      </w:pPr>
      <w:r>
        <w:rPr>
          <w:rFonts w:ascii="Arial" w:cs="Arial" w:eastAsia="Arial" w:hAnsi="Arial"/>
          <w:color w:val="333333"/>
          <w:sz w:val="20"/>
          <w:szCs w:val="20"/>
        </w:rPr>
        <w:t xml:space="preserve">Trabalhos que demandem horas além da cota mensal contratada.</w:t>
      </w:r>
    </w:p>
    <w:p>
      <w:pPr>
        <w:spacing w:after="60" w:before="60"/>
        <w:jc w:val="both"/>
      </w:pPr>
      <w:r>
        <w:rPr>
          <w:rFonts w:ascii="Arial" w:cs="Arial" w:eastAsia="Arial" w:hAnsi="Arial"/>
          <w:color w:val="333333"/>
          <w:sz w:val="20"/>
          <w:szCs w:val="20"/>
        </w:rPr>
        <w:t xml:space="preserve">21.7. RESCISÃO ANTECIPADA DA MANUTENÇÃO: A rescisão pelo CONTRATANTE antes do término da fidelidade de 48 meses implicará o pagamento de multa equivalente a 50% (cinquenta por cento) dos valores remanescentes até o fim do período de fidelidade.</w:t>
      </w:r>
    </w:p>
    <w:p>
      <w:pPr>
        <w:spacing w:after="60" w:before="60"/>
        <w:jc w:val="both"/>
      </w:pPr>
      <w:r>
        <w:rPr>
          <w:rFonts w:ascii="Arial" w:cs="Arial" w:eastAsia="Arial" w:hAnsi="Arial"/>
          <w:color w:val="333333"/>
          <w:sz w:val="20"/>
          <w:szCs w:val="20"/>
        </w:rPr>
        <w:t xml:space="preserve">21.8. CONTINUIDADE DA GARANTIA: O CONTRATANTE, enquanto mantiver contrato de manutenção ativo e adimplente, terá garantia funcional contínua para os itens desenvolvidos e dentro do escopo aprovado.</w:t>
      </w:r>
    </w:p>
    <w:p>
      <w:pPr>
        <w:pBdr>
          <w:bottom w:val="single" w:color="CCCCCC" w:sz="4" w:space="1"/>
        </w:pBdr>
        <w:spacing w:after="120" w:before="120"/>
      </w:pPr>
      <w:r>
        <w:t xml:space="preserve"/>
      </w:r>
    </w:p>
    <w:p>
      <w:pPr>
        <w:spacing w:after="140" w:before="340"/>
      </w:pPr>
      <w:r>
        <w:rPr>
          <w:rFonts w:ascii="Arial" w:cs="Arial" w:eastAsia="Arial" w:hAnsi="Arial"/>
          <w:b/>
          <w:bCs/>
          <w:caps/>
          <w:color w:val="1F3864"/>
          <w:sz w:val="24"/>
          <w:szCs w:val="24"/>
        </w:rPr>
        <w:t xml:space="preserve">22. Assinaturas</w:t>
      </w:r>
    </w:p>
    <w:p>
      <w:pPr>
        <w:spacing w:after="60" w:before="60"/>
        <w:jc w:val="both"/>
      </w:pPr>
      <w:r>
        <w:rPr>
          <w:rFonts w:ascii="Arial" w:cs="Arial" w:eastAsia="Arial" w:hAnsi="Arial"/>
          <w:color w:val="333333"/>
          <w:sz w:val="20"/>
          <w:szCs w:val="20"/>
        </w:rPr>
        <w:t xml:space="preserve">E, por estarem de pleno acordo, as partes assinam o presente instrumento em formato físico ou eletrônico, inclusive com assinatura digital, para que produza seus efeitos legais.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Local e data: ______________________________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none" w:color="FFFFFF" w:sz="0"/>
              <w:left w:val="none" w:color="FFFFFF" w:sz="0"/>
              <w:bottom w:val="single" w:color="CCCCCC" w:sz="1"/>
              <w:right w:val="none" w:color="FFFFFF" w:sz="0"/>
            </w:tcBorders>
            <w:tcMar>
              <w:top w:type="dxa" w:w="500"/>
              <w:left w:type="dxa" w:w="120"/>
              <w:bottom w:type="dxa" w:w="80"/>
              <w:right w:type="dxa" w:w="120"/>
            </w:tcMar>
          </w:tcPr>
          <w:p>
            <w:pPr>
              <w:jc w:val="center"/>
            </w:pPr>
            <w:r>
              <w:rPr>
                <w:rFonts w:ascii="Arial" w:cs="Arial" w:eastAsia="Arial" w:hAnsi="Arial"/>
                <w:b/>
                <w:bCs/>
                <w:color w:val="1F3864"/>
                <w:sz w:val="20"/>
                <w:szCs w:val="20"/>
              </w:rPr>
              <w:t xml:space="preserve">CONTRATANTE</w:t>
            </w:r>
          </w:p>
          <w:p>
            <w:pPr>
              <w:jc w:val="center"/>
            </w:pPr>
            <w:r>
              <w:rPr>
                <w:rFonts w:ascii="Arial" w:cs="Arial" w:eastAsia="Arial" w:hAnsi="Arial"/>
                <w:i/>
                <w:iCs/>
                <w:color w:val="888888"/>
                <w:sz w:val="18"/>
                <w:szCs w:val="18"/>
              </w:rPr>
              <w:t xml:space="preserve">[RAZÃO SOCIAL / NOME]</w:t>
            </w:r>
          </w:p>
          <w:p>
            <w:pPr>
              <w:jc w:val="center"/>
            </w:pPr>
            <w:r>
              <w:rPr>
                <w:rFonts w:ascii="Arial" w:cs="Arial" w:eastAsia="Arial" w:hAnsi="Arial"/>
                <w:i/>
                <w:iCs/>
                <w:color w:val="888888"/>
                <w:sz w:val="18"/>
                <w:szCs w:val="18"/>
              </w:rPr>
              <w:t xml:space="preserve">[REPRESENTANTE LEGAL]</w:t>
            </w:r>
          </w:p>
        </w:tc>
        <w:tc>
          <w:tcPr>
            <w:tcW w:type="dxa" w:w="4680"/>
            <w:tcBorders>
              <w:top w:val="none" w:color="FFFFFF" w:sz="0"/>
              <w:left w:val="none" w:color="FFFFFF" w:sz="0"/>
              <w:bottom w:val="single" w:color="CCCCCC" w:sz="1"/>
              <w:right w:val="none" w:color="FFFFFF" w:sz="0"/>
            </w:tcBorders>
            <w:tcMar>
              <w:top w:type="dxa" w:w="500"/>
              <w:left w:type="dxa" w:w="120"/>
              <w:bottom w:type="dxa" w:w="80"/>
              <w:right w:type="dxa" w:w="120"/>
            </w:tcMar>
          </w:tcPr>
          <w:p>
            <w:pPr>
              <w:jc w:val="center"/>
            </w:pPr>
            <w:r>
              <w:rPr>
                <w:rFonts w:ascii="Arial" w:cs="Arial" w:eastAsia="Arial" w:hAnsi="Arial"/>
                <w:b/>
                <w:bCs/>
                <w:color w:val="1F3864"/>
                <w:sz w:val="20"/>
                <w:szCs w:val="20"/>
              </w:rPr>
              <w:t xml:space="preserve">CONTRATADO</w:t>
            </w:r>
          </w:p>
          <w:p>
            <w:pPr>
              <w:jc w:val="center"/>
            </w:pPr>
            <w:r>
              <w:rPr>
                <w:rFonts w:ascii="Arial" w:cs="Arial" w:eastAsia="Arial" w:hAnsi="Arial"/>
                <w:sz w:val="18"/>
                <w:szCs w:val="18"/>
              </w:rPr>
              <w:t xml:space="preserve">IMPULSO TECH DESENVOLVIMENTO LTDA</w:t>
            </w:r>
          </w:p>
          <w:p>
            <w:pPr>
              <w:jc w:val="center"/>
            </w:pPr>
            <w:r>
              <w:rPr>
                <w:rFonts w:ascii="Arial" w:cs="Arial" w:eastAsia="Arial" w:hAnsi="Arial"/>
                <w:sz w:val="18"/>
                <w:szCs w:val="18"/>
              </w:rPr>
              <w:t xml:space="preserve">Luiz Claudio Melo Junior</w:t>
            </w:r>
          </w:p>
        </w:tc>
      </w:tr>
      <w:tr>
        <w:tc>
          <w:tcPr>
            <w:tcW w:type="dxa" w:w="9360"/>
            <w:gridSpan w:val="2"/>
            <w:tcBorders>
              <w:top w:val="none" w:color="FFFFFF" w:sz="0"/>
              <w:left w:val="none" w:color="FFFFFF" w:sz="0"/>
              <w:bottom w:val="none" w:color="FFFFFF" w:sz="0"/>
              <w:right w:val="none" w:color="FFFFFF" w:sz="0"/>
            </w:tcBorders>
            <w:tcMar>
              <w:top w:type="dxa" w:w="260"/>
              <w:left w:type="dxa" w:w="120"/>
              <w:bottom w:type="dxa" w:w="80"/>
              <w:right w:type="dxa" w:w="120"/>
            </w:tcMar>
          </w:tcPr>
          <w:p>
            <w:r>
              <w:rPr>
                <w:rFonts w:ascii="Arial" w:cs="Arial" w:eastAsia="Arial" w:hAnsi="Arial"/>
                <w:b/>
                <w:bCs/>
                <w:sz w:val="20"/>
                <w:szCs w:val="20"/>
              </w:rPr>
              <w:t xml:space="preserve">Testemunhas:</w:t>
            </w:r>
          </w:p>
          <w:p>
            <w:r>
              <w:rPr>
                <w:rFonts w:ascii="Arial" w:cs="Arial" w:eastAsia="Arial" w:hAnsi="Arial"/>
                <w:sz w:val="20"/>
                <w:szCs w:val="20"/>
              </w:rPr>
              <w:t xml:space="preserve">1. ________________________________ CPF: ________________</w:t>
            </w:r>
          </w:p>
          <w:p>
            <w:r>
              <w:rPr>
                <w:rFonts w:ascii="Arial" w:cs="Arial" w:eastAsia="Arial" w:hAnsi="Arial"/>
                <w:sz w:val="20"/>
                <w:szCs w:val="20"/>
              </w:rPr>
              <w:t xml:space="preserve">2. ________________________________ CPF: ________________</w:t>
            </w:r>
          </w:p>
        </w:tc>
      </w:tr>
    </w:tbl>
    <w:p>
      <w:r>
        <w:br w:type="page"/>
      </w:r>
    </w:p>
    <w:p>
      <w:pPr>
        <w:spacing w:after="140" w:before="340"/>
      </w:pPr>
      <w:r>
        <w:rPr>
          <w:rFonts w:ascii="Arial" w:cs="Arial" w:eastAsia="Arial" w:hAnsi="Arial"/>
          <w:b/>
          <w:bCs/>
          <w:caps/>
          <w:color w:val="1F3864"/>
          <w:sz w:val="24"/>
          <w:szCs w:val="24"/>
        </w:rPr>
        <w:t xml:space="preserve">Anexo I – Escopo / Proposta Comercial</w:t>
      </w:r>
    </w:p>
    <w:p>
      <w:pPr>
        <w:spacing w:after="60" w:before="60"/>
        <w:jc w:val="both"/>
      </w:pPr>
      <w:r>
        <w:rPr>
          <w:rFonts w:ascii="Arial" w:cs="Arial" w:eastAsia="Arial" w:hAnsi="Arial"/>
          <w:i/>
          <w:iCs/>
          <w:color w:val="666666"/>
          <w:sz w:val="20"/>
          <w:szCs w:val="20"/>
        </w:rPr>
        <w:t xml:space="preserve">Este Anexo será preenchido e assinado conjuntamente com o PRD aprovado na fase de Discovery.</w:t>
      </w:r>
    </w:p>
    <w:p>
      <w:pPr>
        <w:spacing w:after="60" w:before="60"/>
      </w:pPr>
      <w:r>
        <w:t xml:space="preserve"/>
      </w:r>
    </w:p>
    <w:p>
      <w:pPr>
        <w:spacing w:after="60" w:before="80"/>
        <w:jc w:val="both"/>
      </w:pPr>
      <w:r>
        <w:rPr>
          <w:rFonts w:ascii="Arial" w:cs="Arial" w:eastAsia="Arial" w:hAnsi="Arial"/>
          <w:b/>
          <w:bCs/>
          <w:color w:val="333333"/>
          <w:sz w:val="20"/>
          <w:szCs w:val="20"/>
        </w:rPr>
        <w:t xml:space="preserve">Projeto:</w:t>
      </w:r>
    </w:p>
    <w:p>
      <w:pPr>
        <w:spacing w:after="60" w:before="60"/>
        <w:jc w:val="both"/>
      </w:pPr>
      <w:r>
        <w:rPr>
          <w:rFonts w:ascii="Arial" w:cs="Arial" w:eastAsia="Arial" w:hAnsi="Arial"/>
          <w:color w:val="333333"/>
          <w:sz w:val="20"/>
          <w:szCs w:val="20"/>
        </w:rPr>
        <w:t xml:space="preserve">Plataforma de Personalização de Joias e E-commerce</w:t>
      </w:r>
    </w:p>
    <w:p>
      <w:pPr>
        <w:spacing w:after="60" w:before="80"/>
        <w:jc w:val="both"/>
      </w:pPr>
      <w:r>
        <w:rPr>
          <w:rFonts w:ascii="Arial" w:cs="Arial" w:eastAsia="Arial" w:hAnsi="Arial"/>
          <w:b/>
          <w:bCs/>
          <w:color w:val="333333"/>
          <w:sz w:val="20"/>
          <w:szCs w:val="20"/>
        </w:rPr>
        <w:t xml:space="preserve">Objetivo:</w:t>
      </w:r>
    </w:p>
    <w:p>
      <w:pPr>
        <w:spacing w:after="60" w:before="60"/>
        <w:jc w:val="both"/>
      </w:pPr>
      <w:r>
        <w:rPr>
          <w:rFonts w:ascii="Arial" w:cs="Arial" w:eastAsia="Arial" w:hAnsi="Arial"/>
          <w:color w:val="333333"/>
          <w:sz w:val="20"/>
          <w:szCs w:val="20"/>
        </w:rPr>
        <w:t xml:space="preserve">Desenvolver um MVP funcional de plataforma web/mobile que permita ao cliente final visualizar e personalizar semijoias (pingentes, escapulários e outros produtos), efetuar a compra diretamente na plataforma e gerar um descritivo de pedido para a produção. A plataforma deverá integrar e-commerce com venda de produtos complementares (ex: correntes), painel administrativo e integração com Bling.</w:t>
      </w:r>
    </w:p>
    <w:p>
      <w:pPr>
        <w:spacing w:after="60" w:before="80"/>
        <w:jc w:val="both"/>
      </w:pPr>
      <w:r>
        <w:rPr>
          <w:rFonts w:ascii="Arial" w:cs="Arial" w:eastAsia="Arial" w:hAnsi="Arial"/>
          <w:b/>
          <w:bCs/>
          <w:color w:val="333333"/>
          <w:sz w:val="20"/>
          <w:szCs w:val="20"/>
        </w:rPr>
        <w:t xml:space="preserve">Funcionalidades Incluídas (MVP):</w:t>
      </w:r>
    </w:p>
    <w:p>
      <w:pPr>
        <w:pStyle w:val="ListParagraph"/>
        <w:numPr>
          <w:ilvl w:val="0"/>
          <w:numId w:val="2"/>
        </w:numPr>
        <w:spacing w:after="40" w:before="40"/>
        <w:jc w:val="both"/>
      </w:pPr>
      <w:r>
        <w:rPr>
          <w:rFonts w:ascii="Arial" w:cs="Arial" w:eastAsia="Arial" w:hAnsi="Arial"/>
          <w:color w:val="333333"/>
          <w:sz w:val="20"/>
          <w:szCs w:val="20"/>
        </w:rPr>
        <w:t xml:space="preserve">Configurador de personalização com seleção de metal, subcamadas, formato, tamanho, serviços de frente e verso (vetor, foto, escrita, borda, pedras);</w:t>
      </w:r>
    </w:p>
    <w:p>
      <w:pPr>
        <w:pStyle w:val="ListParagraph"/>
        <w:numPr>
          <w:ilvl w:val="0"/>
          <w:numId w:val="2"/>
        </w:numPr>
        <w:spacing w:after="40" w:before="40"/>
        <w:jc w:val="both"/>
      </w:pPr>
      <w:r>
        <w:rPr>
          <w:rFonts w:ascii="Arial" w:cs="Arial" w:eastAsia="Arial" w:hAnsi="Arial"/>
          <w:color w:val="333333"/>
          <w:sz w:val="20"/>
          <w:szCs w:val="20"/>
        </w:rPr>
        <w:t xml:space="preserve">Upload de vetor (preto e branco) pelo usuário com aplicação automática no formato da peça e efeito de alto/baixo relevo;</w:t>
      </w:r>
    </w:p>
    <w:p>
      <w:pPr>
        <w:pStyle w:val="ListParagraph"/>
        <w:numPr>
          <w:ilvl w:val="0"/>
          <w:numId w:val="2"/>
        </w:numPr>
        <w:spacing w:after="40" w:before="40"/>
        <w:jc w:val="both"/>
      </w:pPr>
      <w:r>
        <w:rPr>
          <w:rFonts w:ascii="Arial" w:cs="Arial" w:eastAsia="Arial" w:hAnsi="Arial"/>
          <w:color w:val="333333"/>
          <w:sz w:val="20"/>
          <w:szCs w:val="20"/>
        </w:rPr>
        <w:t xml:space="preserve">Upload de foto pelo usuário com aplicação e efeito de gravação a laser (cromatização cinza);</w:t>
      </w:r>
    </w:p>
    <w:p>
      <w:pPr>
        <w:pStyle w:val="ListParagraph"/>
        <w:numPr>
          <w:ilvl w:val="0"/>
          <w:numId w:val="2"/>
        </w:numPr>
        <w:spacing w:after="40" w:before="40"/>
        <w:jc w:val="both"/>
      </w:pPr>
      <w:r>
        <w:rPr>
          <w:rFonts w:ascii="Arial" w:cs="Arial" w:eastAsia="Arial" w:hAnsi="Arial"/>
          <w:color w:val="333333"/>
          <w:sz w:val="20"/>
          <w:szCs w:val="20"/>
        </w:rPr>
        <w:t xml:space="preserve">Regras de negócio de habilitação/desabilitação de filtros conforme combinações inválidas (a ser detalhado no PRD);</w:t>
      </w:r>
    </w:p>
    <w:p>
      <w:pPr>
        <w:pStyle w:val="ListParagraph"/>
        <w:numPr>
          <w:ilvl w:val="0"/>
          <w:numId w:val="2"/>
        </w:numPr>
        <w:spacing w:after="40" w:before="40"/>
        <w:jc w:val="both"/>
      </w:pPr>
      <w:r>
        <w:rPr>
          <w:rFonts w:ascii="Arial" w:cs="Arial" w:eastAsia="Arial" w:hAnsi="Arial"/>
          <w:color w:val="333333"/>
          <w:sz w:val="20"/>
          <w:szCs w:val="20"/>
        </w:rPr>
        <w:t xml:space="preserve">Cálculo dinâmico de preço com cotação de ouro em tempo real;</w:t>
      </w:r>
    </w:p>
    <w:p>
      <w:pPr>
        <w:pStyle w:val="ListParagraph"/>
        <w:numPr>
          <w:ilvl w:val="0"/>
          <w:numId w:val="2"/>
        </w:numPr>
        <w:spacing w:after="40" w:before="40"/>
        <w:jc w:val="both"/>
      </w:pPr>
      <w:r>
        <w:rPr>
          <w:rFonts w:ascii="Arial" w:cs="Arial" w:eastAsia="Arial" w:hAnsi="Arial"/>
          <w:color w:val="333333"/>
          <w:sz w:val="20"/>
          <w:szCs w:val="20"/>
        </w:rPr>
        <w:t xml:space="preserve">Efeito visual de transição (flip/virada da peça) no configurador;</w:t>
      </w:r>
    </w:p>
    <w:p>
      <w:pPr>
        <w:pStyle w:val="ListParagraph"/>
        <w:numPr>
          <w:ilvl w:val="0"/>
          <w:numId w:val="2"/>
        </w:numPr>
        <w:spacing w:after="40" w:before="40"/>
        <w:jc w:val="both"/>
      </w:pPr>
      <w:r>
        <w:rPr>
          <w:rFonts w:ascii="Arial" w:cs="Arial" w:eastAsia="Arial" w:hAnsi="Arial"/>
          <w:color w:val="333333"/>
          <w:sz w:val="20"/>
          <w:szCs w:val="20"/>
        </w:rPr>
        <w:t xml:space="preserve">E-commerce com produtos personalizáveis e não personalizáveis (ex: correntes);</w:t>
      </w:r>
    </w:p>
    <w:p>
      <w:pPr>
        <w:pStyle w:val="ListParagraph"/>
        <w:numPr>
          <w:ilvl w:val="0"/>
          <w:numId w:val="2"/>
        </w:numPr>
        <w:spacing w:after="40" w:before="40"/>
        <w:jc w:val="both"/>
      </w:pPr>
      <w:r>
        <w:rPr>
          <w:rFonts w:ascii="Arial" w:cs="Arial" w:eastAsia="Arial" w:hAnsi="Arial"/>
          <w:color w:val="333333"/>
          <w:sz w:val="20"/>
          <w:szCs w:val="20"/>
        </w:rPr>
        <w:t xml:space="preserve">Lógica de venda casada (sugestão de complementos no checkout);</w:t>
      </w:r>
    </w:p>
    <w:p>
      <w:pPr>
        <w:pStyle w:val="ListParagraph"/>
        <w:numPr>
          <w:ilvl w:val="0"/>
          <w:numId w:val="2"/>
        </w:numPr>
        <w:spacing w:after="40" w:before="40"/>
        <w:jc w:val="both"/>
      </w:pPr>
      <w:r>
        <w:rPr>
          <w:rFonts w:ascii="Arial" w:cs="Arial" w:eastAsia="Arial" w:hAnsi="Arial"/>
          <w:color w:val="333333"/>
          <w:sz w:val="20"/>
          <w:szCs w:val="20"/>
        </w:rPr>
        <w:t xml:space="preserve">Painel administrativo (upload de produtos, imagens, vetores, configurações de regras);</w:t>
      </w:r>
    </w:p>
    <w:p>
      <w:pPr>
        <w:pStyle w:val="ListParagraph"/>
        <w:numPr>
          <w:ilvl w:val="0"/>
          <w:numId w:val="2"/>
        </w:numPr>
        <w:spacing w:after="40" w:before="40"/>
        <w:jc w:val="both"/>
      </w:pPr>
      <w:r>
        <w:rPr>
          <w:rFonts w:ascii="Arial" w:cs="Arial" w:eastAsia="Arial" w:hAnsi="Arial"/>
          <w:color w:val="333333"/>
          <w:sz w:val="20"/>
          <w:szCs w:val="20"/>
        </w:rPr>
        <w:t xml:space="preserve">Integração com Bling (NF-e, pedidos, logística);</w:t>
      </w:r>
    </w:p>
    <w:p>
      <w:pPr>
        <w:pStyle w:val="ListParagraph"/>
        <w:numPr>
          <w:ilvl w:val="0"/>
          <w:numId w:val="2"/>
        </w:numPr>
        <w:spacing w:after="40" w:before="40"/>
        <w:jc w:val="both"/>
      </w:pPr>
      <w:r>
        <w:rPr>
          <w:rFonts w:ascii="Arial" w:cs="Arial" w:eastAsia="Arial" w:hAnsi="Arial"/>
          <w:color w:val="333333"/>
          <w:sz w:val="20"/>
          <w:szCs w:val="20"/>
        </w:rPr>
        <w:t xml:space="preserve">Gateway de pagamento (a definir — excluindo Mercado Pago).</w:t>
      </w:r>
    </w:p>
    <w:p>
      <w:pPr>
        <w:spacing w:after="60" w:before="80"/>
        <w:jc w:val="both"/>
      </w:pPr>
      <w:r>
        <w:rPr>
          <w:rFonts w:ascii="Arial" w:cs="Arial" w:eastAsia="Arial" w:hAnsi="Arial"/>
          <w:b/>
          <w:bCs/>
          <w:color w:val="333333"/>
          <w:sz w:val="20"/>
          <w:szCs w:val="20"/>
        </w:rPr>
        <w:t xml:space="preserve">Itens Expressamente Excluídos:</w:t>
      </w:r>
    </w:p>
    <w:p>
      <w:pPr>
        <w:pStyle w:val="ListParagraph"/>
        <w:numPr>
          <w:ilvl w:val="0"/>
          <w:numId w:val="2"/>
        </w:numPr>
        <w:spacing w:after="40" w:before="40"/>
        <w:jc w:val="both"/>
      </w:pPr>
      <w:r>
        <w:rPr>
          <w:rFonts w:ascii="Arial" w:cs="Arial" w:eastAsia="Arial" w:hAnsi="Arial"/>
          <w:color w:val="333333"/>
          <w:sz w:val="20"/>
          <w:szCs w:val="20"/>
        </w:rPr>
        <w:t xml:space="preserve">Renderização 3D realística avançada (AR/câmera ao vivo, giro 3D interativo em tempo real);</w:t>
      </w:r>
    </w:p>
    <w:p>
      <w:pPr>
        <w:pStyle w:val="ListParagraph"/>
        <w:numPr>
          <w:ilvl w:val="0"/>
          <w:numId w:val="2"/>
        </w:numPr>
        <w:spacing w:after="40" w:before="40"/>
        <w:jc w:val="both"/>
      </w:pPr>
      <w:r>
        <w:rPr>
          <w:rFonts w:ascii="Arial" w:cs="Arial" w:eastAsia="Arial" w:hAnsi="Arial"/>
          <w:color w:val="333333"/>
          <w:sz w:val="20"/>
          <w:szCs w:val="20"/>
        </w:rPr>
        <w:t xml:space="preserve">Publicação em lojas de aplicativos nativos (App Store / Google Play);</w:t>
      </w:r>
    </w:p>
    <w:p>
      <w:pPr>
        <w:pStyle w:val="ListParagraph"/>
        <w:numPr>
          <w:ilvl w:val="0"/>
          <w:numId w:val="2"/>
        </w:numPr>
        <w:spacing w:after="40" w:before="40"/>
        <w:jc w:val="both"/>
      </w:pPr>
      <w:r>
        <w:rPr>
          <w:rFonts w:ascii="Arial" w:cs="Arial" w:eastAsia="Arial" w:hAnsi="Arial"/>
          <w:color w:val="333333"/>
          <w:sz w:val="20"/>
          <w:szCs w:val="20"/>
        </w:rPr>
        <w:t xml:space="preserve">Saneamento de dados ou migração de plataforma anterior;</w:t>
      </w:r>
    </w:p>
    <w:p>
      <w:pPr>
        <w:pStyle w:val="ListParagraph"/>
        <w:numPr>
          <w:ilvl w:val="0"/>
          <w:numId w:val="2"/>
        </w:numPr>
        <w:spacing w:after="40" w:before="40"/>
        <w:jc w:val="both"/>
      </w:pPr>
      <w:r>
        <w:rPr>
          <w:rFonts w:ascii="Arial" w:cs="Arial" w:eastAsia="Arial" w:hAnsi="Arial"/>
          <w:color w:val="333333"/>
          <w:sz w:val="20"/>
          <w:szCs w:val="20"/>
        </w:rPr>
        <w:t xml:space="preserve">Treinamento recorrente ou operação assistida.</w:t>
      </w:r>
    </w:p>
    <w:p>
      <w:pPr>
        <w:spacing w:after="60" w:before="80"/>
        <w:jc w:val="both"/>
      </w:pPr>
      <w:r>
        <w:rPr>
          <w:rFonts w:ascii="Arial" w:cs="Arial" w:eastAsia="Arial" w:hAnsi="Arial"/>
          <w:b/>
          <w:bCs/>
          <w:color w:val="333333"/>
          <w:sz w:val="20"/>
          <w:szCs w:val="20"/>
        </w:rPr>
        <w:t xml:space="preserve">Cronograma Macro (a detalhar no PRD):</w:t>
      </w:r>
    </w:p>
    <w:p>
      <w:pPr>
        <w:pStyle w:val="ListParagraph"/>
        <w:numPr>
          <w:ilvl w:val="0"/>
          <w:numId w:val="2"/>
        </w:numPr>
        <w:spacing w:after="40" w:before="40"/>
        <w:jc w:val="both"/>
      </w:pPr>
      <w:r>
        <w:rPr>
          <w:rFonts w:ascii="Arial" w:cs="Arial" w:eastAsia="Arial" w:hAnsi="Arial"/>
          <w:color w:val="333333"/>
          <w:sz w:val="20"/>
          <w:szCs w:val="20"/>
        </w:rPr>
        <w:t xml:space="preserve">Fase 1 – Discovery e PRD: a definir após assinatura do contrato;</w:t>
      </w:r>
    </w:p>
    <w:p>
      <w:pPr>
        <w:pStyle w:val="ListParagraph"/>
        <w:numPr>
          <w:ilvl w:val="0"/>
          <w:numId w:val="2"/>
        </w:numPr>
        <w:spacing w:after="40" w:before="40"/>
        <w:jc w:val="both"/>
      </w:pPr>
      <w:r>
        <w:rPr>
          <w:rFonts w:ascii="Arial" w:cs="Arial" w:eastAsia="Arial" w:hAnsi="Arial"/>
          <w:color w:val="333333"/>
          <w:sz w:val="20"/>
          <w:szCs w:val="20"/>
        </w:rPr>
        <w:t xml:space="preserve">Fase 2 – Design Visual (front-end estático): a definir;</w:t>
      </w:r>
    </w:p>
    <w:p>
      <w:pPr>
        <w:pStyle w:val="ListParagraph"/>
        <w:numPr>
          <w:ilvl w:val="0"/>
          <w:numId w:val="2"/>
        </w:numPr>
        <w:spacing w:after="40" w:before="40"/>
        <w:jc w:val="both"/>
      </w:pPr>
      <w:r>
        <w:rPr>
          <w:rFonts w:ascii="Arial" w:cs="Arial" w:eastAsia="Arial" w:hAnsi="Arial"/>
          <w:color w:val="333333"/>
          <w:sz w:val="20"/>
          <w:szCs w:val="20"/>
        </w:rPr>
        <w:t xml:space="preserve">Fase 3 – Desenvolvimento e integrações: a definir;</w:t>
      </w:r>
    </w:p>
    <w:p>
      <w:pPr>
        <w:pStyle w:val="ListParagraph"/>
        <w:numPr>
          <w:ilvl w:val="0"/>
          <w:numId w:val="2"/>
        </w:numPr>
        <w:spacing w:after="40" w:before="40"/>
        <w:jc w:val="both"/>
      </w:pPr>
      <w:r>
        <w:rPr>
          <w:rFonts w:ascii="Arial" w:cs="Arial" w:eastAsia="Arial" w:hAnsi="Arial"/>
          <w:color w:val="333333"/>
          <w:sz w:val="20"/>
          <w:szCs w:val="20"/>
        </w:rPr>
        <w:t xml:space="preserve">Fase 4 – Testes, correções e aceite final: a definir.</w:t>
      </w:r>
    </w:p>
    <w:p>
      <w:pPr>
        <w:pStyle w:val="ListParagraph"/>
        <w:numPr>
          <w:ilvl w:val="0"/>
          <w:numId w:val="2"/>
        </w:numPr>
        <w:spacing w:after="40" w:before="40"/>
        <w:jc w:val="both"/>
      </w:pPr>
      <w:r>
        <w:rPr>
          <w:rFonts w:ascii="Arial" w:cs="Arial" w:eastAsia="Arial" w:hAnsi="Arial"/>
          <w:color w:val="333333"/>
          <w:sz w:val="20"/>
          <w:szCs w:val="20"/>
        </w:rPr>
        <w:t xml:space="preserve">Prazo máximo total: 120 dias úteis a partir do início oficial (Cláusula 5.1).</w:t>
      </w:r>
    </w:p>
    <w:p>
      <w:pPr>
        <w:spacing w:after="60" w:before="80"/>
        <w:jc w:val="both"/>
      </w:pPr>
      <w:r>
        <w:rPr>
          <w:rFonts w:ascii="Arial" w:cs="Arial" w:eastAsia="Arial" w:hAnsi="Arial"/>
          <w:b/>
          <w:bCs/>
          <w:color w:val="333333"/>
          <w:sz w:val="20"/>
          <w:szCs w:val="20"/>
        </w:rPr>
        <w:t xml:space="preserve">Critérios de Aceite:</w:t>
      </w:r>
    </w:p>
    <w:p>
      <w:pPr>
        <w:pStyle w:val="ListParagraph"/>
        <w:numPr>
          <w:ilvl w:val="0"/>
          <w:numId w:val="2"/>
        </w:numPr>
        <w:spacing w:after="40" w:before="40"/>
        <w:jc w:val="both"/>
      </w:pPr>
      <w:r>
        <w:rPr>
          <w:rFonts w:ascii="Arial" w:cs="Arial" w:eastAsia="Arial" w:hAnsi="Arial"/>
          <w:color w:val="333333"/>
          <w:sz w:val="20"/>
          <w:szCs w:val="20"/>
        </w:rPr>
        <w:t xml:space="preserve">Todas as funcionalidades listadas neste Anexo e no PRD aprovado funcionando corretamente;</w:t>
      </w:r>
    </w:p>
    <w:p>
      <w:pPr>
        <w:pStyle w:val="ListParagraph"/>
        <w:numPr>
          <w:ilvl w:val="0"/>
          <w:numId w:val="2"/>
        </w:numPr>
        <w:spacing w:after="40" w:before="40"/>
        <w:jc w:val="both"/>
      </w:pPr>
      <w:r>
        <w:rPr>
          <w:rFonts w:ascii="Arial" w:cs="Arial" w:eastAsia="Arial" w:hAnsi="Arial"/>
          <w:color w:val="333333"/>
          <w:sz w:val="20"/>
          <w:szCs w:val="20"/>
        </w:rPr>
        <w:t xml:space="preserve">Sem bugs bloqueantes no ambiente de produção;</w:t>
      </w:r>
    </w:p>
    <w:p>
      <w:pPr>
        <w:pStyle w:val="ListParagraph"/>
        <w:numPr>
          <w:ilvl w:val="0"/>
          <w:numId w:val="2"/>
        </w:numPr>
        <w:spacing w:after="40" w:before="40"/>
        <w:jc w:val="both"/>
      </w:pPr>
      <w:r>
        <w:rPr>
          <w:rFonts w:ascii="Arial" w:cs="Arial" w:eastAsia="Arial" w:hAnsi="Arial"/>
          <w:color w:val="333333"/>
          <w:sz w:val="20"/>
          <w:szCs w:val="20"/>
        </w:rPr>
        <w:t xml:space="preserve">Integrações Bling e gateway de pagamento operacionais;</w:t>
      </w:r>
    </w:p>
    <w:p>
      <w:pPr>
        <w:pStyle w:val="ListParagraph"/>
        <w:numPr>
          <w:ilvl w:val="0"/>
          <w:numId w:val="2"/>
        </w:numPr>
        <w:spacing w:after="40" w:before="40"/>
        <w:jc w:val="both"/>
      </w:pPr>
      <w:r>
        <w:rPr>
          <w:rFonts w:ascii="Arial" w:cs="Arial" w:eastAsia="Arial" w:hAnsi="Arial"/>
          <w:color w:val="333333"/>
          <w:sz w:val="20"/>
          <w:szCs w:val="20"/>
        </w:rPr>
        <w:t xml:space="preserve">Aceite formal pelo CONTRATANTE por documento de vistoria.</w:t>
      </w:r>
    </w:p>
    <w:p>
      <w:pPr>
        <w:spacing w:after="60" w:before="80"/>
        <w:jc w:val="both"/>
      </w:pPr>
      <w:r>
        <w:rPr>
          <w:rFonts w:ascii="Arial" w:cs="Arial" w:eastAsia="Arial" w:hAnsi="Arial"/>
          <w:b/>
          <w:bCs/>
          <w:color w:val="333333"/>
          <w:sz w:val="20"/>
          <w:szCs w:val="20"/>
        </w:rPr>
        <w:t xml:space="preserve">Premissas do Contratante:</w:t>
      </w:r>
    </w:p>
    <w:p>
      <w:pPr>
        <w:pStyle w:val="ListParagraph"/>
        <w:numPr>
          <w:ilvl w:val="0"/>
          <w:numId w:val="2"/>
        </w:numPr>
        <w:spacing w:after="40" w:before="40"/>
        <w:jc w:val="both"/>
      </w:pPr>
      <w:r>
        <w:rPr>
          <w:rFonts w:ascii="Arial" w:cs="Arial" w:eastAsia="Arial" w:hAnsi="Arial"/>
          <w:color w:val="333333"/>
          <w:sz w:val="20"/>
          <w:szCs w:val="20"/>
        </w:rPr>
        <w:t xml:space="preserve">Fornecimento de todos os materiais de conteúdo (vetores, fotos, tabelas de preço/peso, regras de negócio) antes do início do desenvolvimento;</w:t>
      </w:r>
    </w:p>
    <w:p>
      <w:pPr>
        <w:pStyle w:val="ListParagraph"/>
        <w:numPr>
          <w:ilvl w:val="0"/>
          <w:numId w:val="2"/>
        </w:numPr>
        <w:spacing w:after="40" w:before="40"/>
        <w:jc w:val="both"/>
      </w:pPr>
      <w:r>
        <w:rPr>
          <w:rFonts w:ascii="Arial" w:cs="Arial" w:eastAsia="Arial" w:hAnsi="Arial"/>
          <w:color w:val="333333"/>
          <w:sz w:val="20"/>
          <w:szCs w:val="20"/>
        </w:rPr>
        <w:t xml:space="preserve">Conta Bling ativa e API configurada;</w:t>
      </w:r>
    </w:p>
    <w:p>
      <w:pPr>
        <w:pStyle w:val="ListParagraph"/>
        <w:numPr>
          <w:ilvl w:val="0"/>
          <w:numId w:val="2"/>
        </w:numPr>
        <w:spacing w:after="40" w:before="40"/>
        <w:jc w:val="both"/>
      </w:pPr>
      <w:r>
        <w:rPr>
          <w:rFonts w:ascii="Arial" w:cs="Arial" w:eastAsia="Arial" w:hAnsi="Arial"/>
          <w:color w:val="333333"/>
          <w:sz w:val="20"/>
          <w:szCs w:val="20"/>
        </w:rPr>
        <w:t xml:space="preserve">Contratação de gateway de pagamento;</w:t>
      </w:r>
    </w:p>
    <w:p>
      <w:pPr>
        <w:pStyle w:val="ListParagraph"/>
        <w:numPr>
          <w:ilvl w:val="0"/>
          <w:numId w:val="2"/>
        </w:numPr>
        <w:spacing w:after="40" w:before="40"/>
        <w:jc w:val="both"/>
      </w:pPr>
      <w:r>
        <w:rPr>
          <w:rFonts w:ascii="Arial" w:cs="Arial" w:eastAsia="Arial" w:hAnsi="Arial"/>
          <w:color w:val="333333"/>
          <w:sz w:val="20"/>
          <w:szCs w:val="20"/>
        </w:rPr>
        <w:t xml:space="preserve">Disponibilidade para reuniões de discovery e validação de PRD;</w:t>
      </w:r>
    </w:p>
    <w:p>
      <w:pPr>
        <w:pStyle w:val="ListParagraph"/>
        <w:numPr>
          <w:ilvl w:val="0"/>
          <w:numId w:val="2"/>
        </w:numPr>
        <w:spacing w:after="40" w:before="40"/>
        <w:jc w:val="both"/>
      </w:pPr>
      <w:r>
        <w:rPr>
          <w:rFonts w:ascii="Arial" w:cs="Arial" w:eastAsia="Arial" w:hAnsi="Arial"/>
          <w:color w:val="333333"/>
          <w:sz w:val="20"/>
          <w:szCs w:val="20"/>
        </w:rPr>
        <w:t xml:space="preserve">Aprovação de PRD dentro de 5 dias úteis da entrega pelo CONTRATADO.</w:t>
      </w:r>
    </w:p>
    <w:p>
      <w:pPr>
        <w:spacing w:after="60" w:before="60"/>
      </w:pPr>
      <w:r>
        <w:t xml:space="preserve"/>
      </w:r>
    </w:p>
    <w:p>
      <w:pPr>
        <w:pBdr>
          <w:bottom w:val="single" w:color="CCCCCC" w:sz="4" w:space="1"/>
        </w:pBdr>
        <w:spacing w:after="120" w:before="120"/>
      </w:pPr>
      <w:r>
        <w:t xml:space="preserve"/>
      </w:r>
    </w:p>
    <w:p>
      <w:pPr>
        <w:spacing w:after="60" w:before="60"/>
      </w:pPr>
      <w:r>
        <w:t xml:space="preserve"/>
      </w:r>
    </w:p>
    <w:p>
      <w:pPr>
        <w:spacing w:after="140" w:before="140"/>
        <w:jc w:val="center"/>
      </w:pPr>
      <w:r>
        <w:rPr>
          <w:rFonts w:ascii="Arial" w:cs="Arial" w:eastAsia="Arial" w:hAnsi="Arial"/>
          <w:i/>
          <w:iCs/>
          <w:color w:val="999999"/>
          <w:sz w:val="18"/>
          <w:szCs w:val="18"/>
        </w:rPr>
        <w:t xml:space="preserve">— Fim do Documento —</w:t>
      </w:r>
    </w:p>
    <w:p>
      <w:pPr>
        <w:spacing w:after="0" w:before="0"/>
        <w:jc w:val="center"/>
      </w:pPr>
      <w:r>
        <w:rPr>
          <w:rFonts w:ascii="Arial" w:cs="Arial" w:eastAsia="Arial" w:hAnsi="Arial"/>
          <w:color w:val="AAAAAA"/>
          <w:sz w:val="16"/>
          <w:szCs w:val="16"/>
        </w:rPr>
        <w:t xml:space="preserve">IMPULSO TECH DESENVOLVIMENTO LTDA · CNPJ 47.077.981/0001-39 · Nova Iguaçu – RJ</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2026-04-13T21:23:52.748Z</dcterms:created>
  <dcterms:modified xsi:type="dcterms:W3CDTF">2026-04-13T21:23:52.749Z</dcterms:modified>
</cp:coreProperties>
</file>

<file path=docProps/custom.xml><?xml version="1.0" encoding="utf-8"?>
<Properties xmlns="http://schemas.openxmlformats.org/officeDocument/2006/custom-properties" xmlns:vt="http://schemas.openxmlformats.org/officeDocument/2006/docPropsVTypes"/>
</file>