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spacing w:after="80" w:before="0" w:line="276"/>
        <w:jc w:val="center"/>
      </w:pPr>
      <w:r>
        <w:rPr>
          <w:b/>
          <w:bCs/>
          <w:color w:val="EA580C"/>
          <w:sz w:val="72"/>
          <w:szCs w:val="72"/>
        </w:rPr>
        <w:t xml:space="preserve">REMIO</w:t>
      </w:r>
    </w:p>
    <w:p>
      <w:pPr>
        <w:spacing w:after="560" w:before="0" w:line="276"/>
        <w:jc w:val="center"/>
      </w:pPr>
      <w:r>
        <w:rPr>
          <w:color w:val="1F2937"/>
          <w:sz w:val="28"/>
          <w:szCs w:val="28"/>
        </w:rPr>
        <w:t xml:space="preserve">Plataforma de Serviços Domésticos</w:t>
      </w:r>
    </w:p>
    <w:p>
      <w:pPr>
        <w:spacing w:after="10" w:before="0" w:line="276"/>
        <w:jc w:val="center"/>
      </w:pPr>
      <w:r>
        <w:rPr>
          <w:b/>
          <w:bCs/>
          <w:color w:val="1F2937"/>
          <w:sz w:val="36"/>
          <w:szCs w:val="36"/>
        </w:rPr>
        <w:t xml:space="preserve">ARQUITETURA, SEGURANÇA</w:t>
      </w:r>
    </w:p>
    <w:p>
      <w:pPr>
        <w:spacing w:after="60" w:before="0" w:line="276"/>
        <w:jc w:val="center"/>
      </w:pPr>
      <w:r>
        <w:rPr>
          <w:b/>
          <w:bCs/>
          <w:color w:val="1F2937"/>
          <w:sz w:val="36"/>
          <w:szCs w:val="36"/>
        </w:rPr>
        <w:t xml:space="preserve">E QUALIDADE DA PLATAFORMA</w:t>
      </w:r>
    </w:p>
    <w:p>
      <w:pPr>
        <w:spacing w:after="1100" w:before="0" w:line="276"/>
        <w:jc w:val="center"/>
      </w:pPr>
      <w:r>
        <w:rPr>
          <w:color w:val="6B7280"/>
          <w:sz w:val="22"/>
          <w:szCs w:val="22"/>
        </w:rPr>
        <w:t xml:space="preserve">Observabilidade · Segurança · Resiliência · IA</w:t>
      </w:r>
    </w:p>
    <w:p>
      <w:pPr>
        <w:spacing w:after="80" w:before="0" w:line="276"/>
        <w:jc w:val="center"/>
      </w:pPr>
      <w:r>
        <w:rPr>
          <w:color w:val="1F2937"/>
          <w:sz w:val="24"/>
          <w:szCs w:val="24"/>
        </w:rPr>
        <w:t xml:space="preserve">Trabalho de Conclusão de Curso</w:t>
      </w:r>
    </w:p>
    <w:p>
      <w:pPr>
        <w:spacing w:after="80" w:before="0" w:line="276"/>
        <w:jc w:val="center"/>
      </w:pPr>
      <w:r>
        <w:rPr>
          <w:color w:val="1F2937"/>
          <w:sz w:val="24"/>
          <w:szCs w:val="24"/>
        </w:rPr>
        <w:t xml:space="preserve">MBA em Gestão Analítica com BI e Big Data</w:t>
      </w:r>
    </w:p>
    <w:p>
      <w:pPr>
        <w:spacing w:after="700" w:before="0" w:line="276"/>
        <w:jc w:val="center"/>
      </w:pPr>
      <w:r>
        <w:rPr>
          <w:color w:val="1F2937"/>
          <w:sz w:val="24"/>
          <w:szCs w:val="24"/>
        </w:rPr>
        <w:t xml:space="preserve">Universidade de Fortaleza — UNIFOR</w:t>
      </w:r>
    </w:p>
    <w:p>
      <w:pPr>
        <w:spacing w:after="120" w:before="0" w:line="276"/>
        <w:jc w:val="center"/>
      </w:pPr>
      <w:r>
        <w:rPr>
          <w:color w:val="6B7280"/>
          <w:sz w:val="22"/>
          <w:szCs w:val="22"/>
        </w:rPr>
        <w:t xml:space="preserve">Fortaleza — CE, 2026</w:t>
      </w:r>
    </w:p>
    <w:p>
      <w:r>
        <w:br w:type="page"/>
      </w:r>
    </w:p>
    <w:p>
      <w:pPr>
        <w:spacing w:after="240" w:before="0" w:line="276"/>
      </w:pPr>
      <w:r>
        <w:rPr>
          <w:b/>
          <w:bCs/>
          <w:color w:val="1F2937"/>
          <w:sz w:val="32"/>
          <w:szCs w:val="32"/>
        </w:rPr>
        <w:t xml:space="preserve">Sumário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1. Introdução e Arquitetura-Alvo</w:t>
      </w:r>
      <w:r>
        <w:rPr>
          <w:color w:val="1F2937"/>
          <w:sz w:val="22"/>
          <w:szCs w:val="22"/>
        </w:rPr>
        <w:t xml:space="preserve">	3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2. Estilo Arquitetural: Monólito Modular e Microsserviços</w:t>
      </w:r>
      <w:r>
        <w:rPr>
          <w:color w:val="1F2937"/>
          <w:sz w:val="22"/>
          <w:szCs w:val="22"/>
        </w:rPr>
        <w:t xml:space="preserve">	4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3. Segurança em Camadas</w:t>
      </w:r>
      <w:r>
        <w:rPr>
          <w:color w:val="1F2937"/>
          <w:sz w:val="22"/>
          <w:szCs w:val="22"/>
        </w:rPr>
        <w:t xml:space="preserve">	6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     3.1. Proteção contra SQL Injection</w:t>
      </w:r>
      <w:r>
        <w:rPr>
          <w:color w:val="1F2937"/>
          <w:sz w:val="22"/>
          <w:szCs w:val="22"/>
        </w:rPr>
        <w:t xml:space="preserve">	7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4. Observabilidade</w:t>
      </w:r>
      <w:r>
        <w:rPr>
          <w:color w:val="1F2937"/>
          <w:sz w:val="22"/>
          <w:szCs w:val="22"/>
        </w:rPr>
        <w:t xml:space="preserve">	8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5. Resiliência do Software</w:t>
      </w:r>
      <w:r>
        <w:rPr>
          <w:color w:val="1F2937"/>
          <w:sz w:val="22"/>
          <w:szCs w:val="22"/>
        </w:rPr>
        <w:t xml:space="preserve">	9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6. Gestão de Backups e Recuperação de Desastres</w:t>
      </w:r>
      <w:r>
        <w:rPr>
          <w:color w:val="1F2937"/>
          <w:sz w:val="22"/>
          <w:szCs w:val="22"/>
        </w:rPr>
        <w:t xml:space="preserve">	10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7. Qualidade e Verificação Contínua</w:t>
      </w:r>
      <w:r>
        <w:rPr>
          <w:color w:val="1F2937"/>
          <w:sz w:val="22"/>
          <w:szCs w:val="22"/>
        </w:rPr>
        <w:t xml:space="preserve">	11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8. Spec-Driven Development e CI/CD</w:t>
      </w:r>
      <w:r>
        <w:rPr>
          <w:color w:val="1F2937"/>
          <w:sz w:val="22"/>
          <w:szCs w:val="22"/>
        </w:rPr>
        <w:t xml:space="preserve">	12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9. Repositório de Erros e Correção</w:t>
      </w:r>
      <w:r>
        <w:rPr>
          <w:color w:val="1F2937"/>
          <w:sz w:val="22"/>
          <w:szCs w:val="22"/>
        </w:rPr>
        <w:t xml:space="preserve">	13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10. Fluxos de Inteligência Artificial</w:t>
      </w:r>
      <w:r>
        <w:rPr>
          <w:color w:val="1F2937"/>
          <w:sz w:val="22"/>
          <w:szCs w:val="22"/>
        </w:rPr>
        <w:t xml:space="preserve">	14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11. Considerações Finais</w:t>
      </w:r>
      <w:r>
        <w:rPr>
          <w:color w:val="1F2937"/>
          <w:sz w:val="22"/>
          <w:szCs w:val="22"/>
        </w:rPr>
        <w:t xml:space="preserve">	15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Introdução e Arquitetura-Alvo</w:t>
      </w:r>
    </w:p>
    <w:p>
      <w:pPr>
        <w:spacing w:after="120" w:before="0" w:line="276"/>
      </w:pPr>
      <w:r>
        <w:t xml:space="preserve">Este documento descreve a arquitetura-alvo da plataforma Remio sob a ótica de engenharia de software: como o sistema seria estruturado em produção para ser seguro, observável, resiliente e de alta qualidade. Enquanto o protótipo entregue é uma aplicação front-end com dados simulados, esta seção projeta o sistema completo que o sustentaria em escala real, atendendo aos requisitos não funcionais da plataforma.</w:t>
      </w:r>
    </w:p>
    <w:p>
      <w:pPr>
        <w:spacing w:after="120" w:before="0" w:line="276"/>
      </w:pPr>
      <w:r>
        <w:t xml:space="preserve">A arquitetura adota uma organização em camadas, com responsabilidades bem separadas e duas camadas transversais — observabilidade e segurança — que permeiam todo o sistema.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4314825"/>
            <wp:effectExtent t="0" r="0" b="0" l="0"/>
            <wp:docPr id="1" name="5-arquitetura-camadas.png" descr="Figura 1 — Arquitetura-alvo da plataforma em camadas." title="Figura 1 — Arquitetura-alvo da plataforma em cam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Figura 1 — Arquitetura-alvo da plataforma em camadas.</w:t>
      </w:r>
    </w:p>
    <w:p>
      <w:pPr>
        <w:spacing w:after="120" w:before="60" w:line="276"/>
      </w:pPr>
      <w:r>
        <w:t xml:space="preserve">As camadas se dividem assim: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Cliente: </w:t>
      </w:r>
      <w:r>
        <w:t xml:space="preserve">o site/app que o usuário acessa.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Borda: </w:t>
      </w:r>
      <w:r>
        <w:t xml:space="preserve">CDN para desempenho e WAF (Web Application Firewall) com rate limiting para barrar tráfego malicioso antes que chegue à aplicação.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Aplicação: </w:t>
      </w:r>
      <w:r>
        <w:t xml:space="preserve">um API Gateway que autentica e roteia as requisições para os serviços de negócio (usuários, pedidos, pagamentos, avaliações e BI/IA).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Dados: </w:t>
      </w:r>
      <w:r>
        <w:t xml:space="preserve">o banco transacional (OLTP), o Data Warehouse e um cache (Redis) para acelerar leituras frequentes.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Transversais: </w:t>
      </w:r>
      <w:r>
        <w:t xml:space="preserve">observabilidade e segurança, aplicadas a todas as camadas anteriores.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Estilo Arquitetural: Monólito Modular e Microsserviços</w:t>
      </w:r>
    </w:p>
    <w:p>
      <w:pPr>
        <w:spacing w:after="120" w:before="0" w:line="276"/>
      </w:pPr>
      <w:r>
        <w:t xml:space="preserve">Uma decisão central de arquitetura é escolher entre um monólito (aplicação única) e microsserviços (vários serviços independentes). A Remio adota uma estratégia evolutiva, adequada ao estágio do negócio.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60"/>
        <w:gridCol w:w="29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Abordagem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Vantagens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Quando usar na Remio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Monólito modular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 de desenvolver, testar e implantar; menor custo operacional.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inicial — poucos usuários, equipe pequena, validação do modelo de negócio.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 independente por serviço; isolamento de falhas; times autônomos.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de crescimento — quando o volume e a equipe justificarem a complexidade.</w:t>
            </w:r>
          </w:p>
        </w:tc>
      </w:tr>
    </w:tbl>
    <w:p>
      <w:pPr>
        <w:spacing w:after="120" w:before="80" w:line="276"/>
      </w:pPr>
      <w:r>
        <w:rPr>
          <w:b/>
          <w:bCs/>
        </w:rPr>
        <w:t xml:space="preserve">Decisão adotada: </w:t>
      </w:r>
      <w:r>
        <w:t xml:space="preserve">iniciar como um monólito modular — uma aplicação única, porém internamente organizada em módulos bem separados (usuários, pedidos, pagamentos, avaliações), com fronteiras claras. Essa organização permite, no futuro, extrair cada módulo como um microsserviço sem reescrever o sistema. Adotar microsserviços desde o início, numa plataforma em validação, seria over-engineering: traria complexidade de rede, orquestração e monitoramento desproporcional ao porte atual.</w:t>
      </w:r>
    </w:p>
    <w:p>
      <w:pPr>
        <w:spacing w:after="120" w:before="0" w:line="276"/>
      </w:pPr>
      <w:r>
        <w:t xml:space="preserve">Essa decisão dialoga diretamente com o plano de negócios, que projeta uma empresa em formação e crescimento gradual: a arquitetura acompanha a maturidade da operação.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Segurança em Camadas</w:t>
      </w:r>
    </w:p>
    <w:p>
      <w:pPr>
        <w:spacing w:after="120" w:before="0" w:line="276"/>
      </w:pPr>
      <w:r>
        <w:t xml:space="preserve">A segurança da Remio segue o princípio de defesa em profundidade (defense in depth): em vez de uma única barreira, várias camadas de proteção se sobrepõem, de modo que a falha de uma não comprometa todo o sistema.</w:t>
      </w:r>
    </w:p>
    <w:p>
      <w:pPr>
        <w:spacing w:after="60" w:before="80"/>
        <w:jc w:val="center"/>
      </w:pPr>
      <w:r>
        <w:drawing>
          <wp:inline distT="0" distB="0" distL="0" distR="0">
            <wp:extent cx="4476750" cy="5019675"/>
            <wp:effectExtent t="0" r="0" b="0" l="0"/>
            <wp:docPr id="1" name="6-seguranca-camadas.png" descr="Figura 2 — Defesa em profundidade: quatro camadas de segurança." title="Figura 2 — Defesa em profundidade: quatro camadas de seguranç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Figura 2 — Defesa em profundidade: quatro camadas de segurança.</w:t>
      </w:r>
    </w:p>
    <w:p>
      <w:pPr>
        <w:spacing w:after="120" w:before="60" w:line="276"/>
      </w:pPr>
      <w:r>
        <w:t xml:space="preserve">Cada camada cumpre um papel: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Rede e borda: </w:t>
      </w:r>
      <w:r>
        <w:t xml:space="preserve">todo o tráfego é cifrado por TLS/HTTPS; o WAF filtra ataques conhecidos; o rate limiting impede abuso e ataques de negação de serviço.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Aplicação: </w:t>
      </w:r>
      <w:r>
        <w:t xml:space="preserve">autenticação por login com tokens JWT; autorização por papel (cada perfil só acessa o que lhe compete); e validação rigorosa de toda entrada do usuário.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Dados: </w:t>
      </w:r>
      <w:r>
        <w:t xml:space="preserve">queries parametrizadas contra SQL injection, criptografia dos dados sensíveis e o princípio do menor privilégio (cada serviço usa um usuário de banco com permissões mínimas).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Monitoramento: </w:t>
      </w:r>
      <w:r>
        <w:t xml:space="preserve">trilha de auditoria de todas as ações sensíveis e alertas automáticos diante de comportamentos suspeitos.</w:t>
      </w:r>
    </w:p>
    <w:p>
      <w:pPr>
        <w:pStyle w:val="Heading2"/>
        <w:spacing w:after="120" w:before="240"/>
      </w:pPr>
      <w:r>
        <w:t xml:space="preserve">3.1. Proteção contra SQL Injection</w:t>
      </w:r>
    </w:p>
    <w:p>
      <w:pPr>
        <w:spacing w:after="120" w:before="0" w:line="276"/>
      </w:pPr>
      <w:r>
        <w:t xml:space="preserve">O SQL injection é um dos ataques mais comuns: o atacante insere comandos SQL em campos de entrada para manipular a consulta. A defesa definitiva são as queries parametrizadas (prepared statements), nas quais os dados do usuário nunca são interpretados como código. O contraste abaixo ilustra o problema e a solução.</w:t>
      </w:r>
    </w:p>
    <w:p>
      <w:pPr>
        <w:spacing w:after="80" w:before="0" w:line="276"/>
      </w:pPr>
      <w:r>
        <w:rPr>
          <w:b/>
          <w:bCs/>
        </w:rPr>
        <w:t xml:space="preserve">Código vulnerável </w:t>
      </w:r>
      <w:r>
        <w:t xml:space="preserve">(concatenação de texto — nunca faça isto):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// A entrada do usuário vira parte do comando SQL: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const sql = "SELECT * FROM usuario WHERE email = '" + entrada + "'";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// Entrada maliciosa:  ' OR '1'='1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// SQL resultante:  ... WHERE email = '' OR '1'='1'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// Resultado: retorna TODOS os usuários (vazamento de dados).</w:t>
            </w:r>
          </w:p>
        </w:tc>
      </w:tr>
    </w:tbl>
    <w:p>
      <w:pPr>
        <w:spacing w:after="80" w:before="100" w:line="276"/>
      </w:pPr>
      <w:r>
        <w:rPr>
          <w:b/>
          <w:bCs/>
        </w:rPr>
        <w:t xml:space="preserve">Código seguro </w:t>
      </w:r>
      <w:r>
        <w:t xml:space="preserve">(query parametrizada — padrão adotado na Remio):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// O valor é enviado separado do comando, como parâmetro: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const sql = "SELECT * FROM usuario WHERE email = $1";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await db.query(sql, [entrada]);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// A entrada nunca é interpretada como SQL — apenas como dado.</w:t>
            </w:r>
          </w:p>
          <w:p>
            <w:pPr>
              <w:spacing w:after="0" w:line="246"/>
            </w:pPr>
            <w:r>
              <w:rPr>
                <w:rFonts w:ascii="Consolas" w:cs="Consolas" w:eastAsia="Consolas" w:hAnsi="Consolas"/>
                <w:color w:val="E8E8E8"/>
                <w:sz w:val="17"/>
                <w:szCs w:val="17"/>
              </w:rPr>
              <w:t xml:space="preserve">// O ataque deixa de funcionar.</w:t>
            </w:r>
          </w:p>
        </w:tc>
      </w:tr>
    </w:tbl>
    <w:p>
      <w:pPr>
        <w:spacing w:after="120" w:before="80" w:line="276"/>
      </w:pPr>
      <w:r>
        <w:t xml:space="preserve">Os exemplos de consulta do documento de Engenharia de Dados já seguem esse padrão, usando parâmetros nomeados (por exemplo, :id) em vez de concatenar valores.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Observabilidade</w:t>
      </w:r>
    </w:p>
    <w:p>
      <w:pPr>
        <w:spacing w:after="120" w:before="0" w:line="276"/>
      </w:pPr>
      <w:r>
        <w:t xml:space="preserve">Observabilidade é a capacidade de entender o que acontece dentro do sistema a partir do que ele emite. Vai além do monitoramento tradicional: permite identificar automaticamente padrões, gargalos e oportunidades de melhoria — exatamente o tipo de análise que o orientador destacou. Apoia-se em três pilares.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7-observabilidade.png" descr="Figura 3 — Os três pilares da observabilidade e o fluxo até alertas e IA." title="Figura 3 — Os três pilares da observabilidade e o fluxo até alertas e 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Figura 3 — Os três pilares da observabilidade e o fluxo até alertas e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registra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Pergunta que responde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e erros, com contexto.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que aconteceu e por quê?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Números ao longo do tempo (latência, throughput, uso de CPU).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está saudável e rápido?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caminho completo de uma requisição entre serviços.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Onde está o gargalo?</w:t>
            </w:r>
          </w:p>
        </w:tc>
      </w:tr>
    </w:tbl>
    <w:p>
      <w:pPr>
        <w:spacing w:after="120" w:before="80" w:line="276"/>
      </w:pPr>
      <w:r>
        <w:t xml:space="preserve">Os três sinais são coletados por um agente padronizado (OpenTelemetry), armazenados (Prometheus para métricas, Loki para logs) e visualizados em dashboards (Grafana). Sobre essa base atuam os alertas automáticos (por exemplo, "latência acima de 2s" ou "taxa de erro subindo") e uma camada de detecção de anomalias com IA, capaz de apontar padrões e sugerir melhorias sem intervenção manual.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Resiliência do Software</w:t>
      </w:r>
    </w:p>
    <w:p>
      <w:pPr>
        <w:spacing w:after="120" w:before="0" w:line="276"/>
      </w:pPr>
      <w:r>
        <w:t xml:space="preserve">Resiliência é a capacidade do sistema de continuar funcionando — ou degradar de forma controlada — diante de falhas. Em vez de supor que tudo sempre funciona, projeta-se para a falha. Os principais padrões adotados: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com backoff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Repete automaticamente uma operação que falhou de forma transitória, com intervalos crescentes.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Interrompe chamadas a um serviço que está falhando, evitando efeito dominó, e testa a recuperação depois.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um tempo máximo de espera, impedindo que uma requisição travada bloqueie recursos.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Redundância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Múltiplas instâncias de cada serviço e réplicas do banco, sem ponto único de falha.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Degradação graciosa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Diante de falha parcial, o sistema oferece uma versão reduzida (ex.: dashboard mostra o último dado válido em vez de quebrar).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Filas de mensagens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Desacoplam serviços; se um está fora do ar, as mensagens aguardam e são processadas depois.</w:t>
            </w:r>
          </w:p>
        </w:tc>
      </w:tr>
    </w:tbl>
    <w:p>
      <w:pPr>
        <w:spacing w:after="120" w:before="80" w:line="276"/>
      </w:pPr>
      <w:r>
        <w:t xml:space="preserve">Esses padrões são medidos por metas de nível de serviço (SLO — Service Level Objectives), como "99,5% de disponibilidade mensal", que orientam tanto o desenvolvimento quanto os alertas de observabilidade.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Gestão de Backups e Recuperação de Desastres</w:t>
      </w:r>
    </w:p>
    <w:p>
      <w:pPr>
        <w:spacing w:after="120" w:before="0" w:line="276"/>
      </w:pPr>
      <w:r>
        <w:t xml:space="preserve">Os dados são o ativo mais crítico da plataforma. A estratégia de backup combina cópias regulares com a capacidade de restaurar o banco a qualquer ponto no tempo, minimizando perdas.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completo (pg_dump)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Cópia integral do banco PostgreSQL, executada diariamente em horário de baixa demanda.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PITR (Point-in-Time Recovery)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Arquivamento contínuo dos logs de transação (WAL), permitindo restaurar o banco para qualquer instante — por exemplo, segundos antes de um erro.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Retenção em camadas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 diários por 30 dias, semanais por 3 meses e mensais por 1 ano.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Armazenamento externo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Cópias replicadas em local geograficamente distinto, protegendo contra desastres físicos.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de restauração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Restauração periódica em ambiente isolado para garantir que os backups realmente funcionam.</w:t>
            </w:r>
          </w:p>
        </w:tc>
      </w:tr>
    </w:tbl>
    <w:p>
      <w:pPr>
        <w:spacing w:after="120" w:before="80" w:line="276"/>
      </w:pPr>
      <w:r>
        <w:t xml:space="preserve">Duas métricas guiam a estratégia: o </w:t>
      </w:r>
      <w:r>
        <w:rPr>
          <w:b/>
          <w:bCs/>
        </w:rPr>
        <w:t xml:space="preserve">RPO</w:t>
      </w:r>
      <w:r>
        <w:t xml:space="preserve"> (Recovery Point Objective — quanto de dado se aceita perder, alvo de minutos com PITR) e o </w:t>
      </w:r>
      <w:r>
        <w:rPr>
          <w:b/>
          <w:bCs/>
        </w:rPr>
        <w:t xml:space="preserve">RTO</w:t>
      </w:r>
      <w:r>
        <w:t xml:space="preserve"> (Recovery Time Objective — em quanto tempo o sistema volta, alvo de poucas horas).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Qualidade e Verificação Contínua</w:t>
      </w:r>
    </w:p>
    <w:p>
      <w:pPr>
        <w:spacing w:after="120" w:before="0" w:line="276"/>
      </w:pPr>
      <w:r>
        <w:t xml:space="preserve">Para responder à preocupação levantada pelo orientador — "como saber se o site está ficando lento ou se os painéis estão com dados errados?" — a plataforma adota rotinas automáticas de verificação em três frentes.</w:t>
      </w:r>
    </w:p>
    <w:p>
      <w:pPr>
        <w:pStyle w:val="Heading2"/>
        <w:spacing w:after="120" w:before="240"/>
      </w:pPr>
      <w:r>
        <w:t xml:space="preserve">Saúde do sistema (o site está lento?)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Health checks: </w:t>
      </w:r>
      <w:r>
        <w:t xml:space="preserve">cada serviço expõe um endpoint de saúde verificado continuamente; se não responder, dispara alerta e aciona a redundância.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Monitoramento sintético: </w:t>
      </w:r>
      <w:r>
        <w:t xml:space="preserve">robôs simulam a jornada do usuário (buscar profissional, abrir orçamento) em intervalos regulares e medem o tempo de resposta, detectando lentidão antes do usuário real.</w:t>
      </w:r>
    </w:p>
    <w:p>
      <w:pPr>
        <w:pStyle w:val="Heading2"/>
        <w:spacing w:after="120" w:before="240"/>
      </w:pPr>
      <w:r>
        <w:t xml:space="preserve">Qualidade dos dados (os painéis estão certos?)</w:t>
      </w:r>
    </w:p>
    <w:p>
      <w:pPr>
        <w:spacing w:after="120" w:before="0" w:line="276"/>
      </w:pPr>
      <w:r>
        <w:t xml:space="preserve">Painéis errados quase sempre nascem de dados ruins na carga. Por isso, o ETL ganha etapas de validação de qualidade de dados (data quality) antes de publicar no Data Warehouse: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Verificação de completude: nenhuma chave estrangeira órfã, nenhum campo obrigatório nulo.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Verificação de consistência: somatórios conferem (ex.: valor_comissao + valor_prestador = valor_total).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Verificação de volume: a carga do dia está dentro da faixa esperada (uma queda brusca indica falha na extração).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Em caso de falha, a carga é interrompida e um alerta é emitido — o painel nunca exibe dado inválido.</w:t>
      </w:r>
    </w:p>
    <w:p>
      <w:pPr>
        <w:pStyle w:val="Heading2"/>
        <w:spacing w:after="120" w:before="240"/>
      </w:pPr>
      <w:r>
        <w:t xml:space="preserve">Testes automatizados</w:t>
      </w:r>
    </w:p>
    <w:p>
      <w:pPr>
        <w:spacing w:after="120" w:before="0" w:line="276"/>
      </w:pPr>
      <w:r>
        <w:t xml:space="preserve">Testes unitários, de integração e de ponta a ponta rodam a cada alteração de código (ver seção 8), garantindo que novas funcionalidades não quebrem as existentes.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Spec-Driven Development e CI/CD</w:t>
      </w:r>
    </w:p>
    <w:p>
      <w:pPr>
        <w:spacing w:after="120" w:before="0" w:line="276"/>
      </w:pPr>
      <w:r>
        <w:t xml:space="preserve">O desenvolvimento da Remio seguiu a abordagem Spec-Driven Development (desenvolvimento guiado por especificação): antes de escrever código, define-se uma especificação clara do que será construído. Este próprio projeto foi conduzido assim — cada parte partiu de um documento de design (DESIGN.md) validado antes da implementação.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143000"/>
            <wp:effectExtent t="0" r="0" b="0" l="0"/>
            <wp:docPr id="1" name="8-cicd-spec.png" descr="Figura 4 — Ciclo do spec-driven development integrado ao CI/CD." title="Figura 4 — Ciclo do spec-driven development integrado ao CI/C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Figura 4 — Ciclo do spec-driven development integrado ao CI/CD.</w:t>
      </w:r>
    </w:p>
    <w:p>
      <w:pPr>
        <w:spacing w:after="120" w:before="60" w:line="276"/>
      </w:pPr>
      <w:r>
        <w:t xml:space="preserve">O ciclo completo funciona como um fluxo contínuo: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Especificação → Plano → Código: </w:t>
      </w:r>
      <w:r>
        <w:t xml:space="preserve">a ideia é detalhada, decomposta em tarefas e então implementada.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Testes → Build → Deploy (CI/CD): </w:t>
      </w:r>
      <w:r>
        <w:t xml:space="preserve">a cada alteração, uma esteira automatizada roda os testes, monta a aplicação (Integração Contínua) e a publica (Entrega Contínua), reduzindo erro humano.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Monitoramento → Melhoria: </w:t>
      </w:r>
      <w:r>
        <w:t xml:space="preserve">a observabilidade em produção gera aprendizados que retroalimentam novas especificações, fechando o ciclo.</w:t>
      </w:r>
    </w:p>
    <w:p>
      <w:pPr>
        <w:spacing w:after="120" w:before="80" w:line="276"/>
      </w:pPr>
      <w:r>
        <w:rPr>
          <w:b/>
          <w:bCs/>
        </w:rPr>
        <w:t xml:space="preserve">Benefício para o TCC: </w:t>
      </w:r>
      <w:r>
        <w:t xml:space="preserve">os documentos de design e os registros de prompts já produzidos são a evidência concreta de que o projeto adotou essa metodologia, e não um desenvolvimento improvisado.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Repositório de Erros e Correção</w:t>
      </w:r>
    </w:p>
    <w:p>
      <w:pPr>
        <w:spacing w:after="120" w:before="0" w:line="276"/>
      </w:pPr>
      <w:r>
        <w:t xml:space="preserve">Um repositório de erros centraliza, registra e prioriza as falhas que ocorrem em produção, transformando-as em correções. Em vez de depender de o usuário relatar um problema, o próprio sistema captura e cataloga cada erro.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 exceção (no front-end e no back-end) é interceptada e enviada a uma ferramenta de rastreamento (ex.: Sentry).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Agrupamento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Erros idênticos são agrupados, com contagem de ocorrências, usuários afetados e contexto (navegador, rota, versão).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Priorização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erros são ordenados por impacto (frequência × severidade), guiando o time sobre o que corrigir primeiro.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Correção e verificação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correção entra pelo fluxo de CI/CD; o erro é marcado como resolvido e o sistema confirma se parou de ocorrer.</w:t>
            </w:r>
          </w:p>
        </w:tc>
      </w:tr>
    </w:tbl>
    <w:p>
      <w:pPr>
        <w:spacing w:after="120" w:before="80" w:line="276"/>
      </w:pPr>
      <w:r>
        <w:t xml:space="preserve">No protótipo, esse conceito será demonstrado de forma simplificada: uma tela que captura erros de JavaScript do navegador e os exibe em uma lista — uma versão didática do repositório de erros.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Fluxos de Inteligência Artificial</w:t>
      </w:r>
    </w:p>
    <w:p>
      <w:pPr>
        <w:spacing w:after="120" w:before="0" w:line="276"/>
      </w:pPr>
      <w:r>
        <w:t xml:space="preserve">A Inteligência Artificial amplia o valor da plataforma em várias frentes. Os principais casos de uso previstos para a Remio: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Benefício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das avaliações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 o sentimento e extrai temas recorrentes dos comentários, revelando padrões de melhoria.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Detecção de fraude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 transações suspeitas no Pagamento Protegido em tempo real.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Previsão de demanda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Antecipa picos por categoria e região, orientando a captação de prestadores.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inteligente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Recomenda ao cliente os prestadores com maior chance de atender bem ao pedido.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Detecção de anomalias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Apoia a observabilidade, sinalizando comportamentos fora do padrão.</w:t>
            </w:r>
          </w:p>
        </w:tc>
      </w:tr>
    </w:tbl>
    <w:p>
      <w:pPr>
        <w:spacing w:after="120" w:before="0" w:line="276"/>
      </w:pPr>
      <w:r>
        <w:t xml:space="preserve">O primeiro caso — análise das avaliações — foi efetivamente implementado neste trabalho, usando a API da Claude (Anthropic). O fluxo recebe os comentários dos clientes e devolve uma análise estruturada (sentimento, temas e sugestões de melhoria), conectando-se à observabilidade como uma fonte automática de insights.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028700"/>
            <wp:effectExtent t="0" r="0" b="0" l="0"/>
            <wp:docPr id="1" name="9-fluxo-ia.png" descr="Figura 5 — Fluxo de IA: das avaliações à análise estruturada pela API da Claude." title="Figura 5 — Fluxo de IA: das avaliações à análise estruturada pela API da Clau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Figura 5 — Fluxo de IA: das avaliações à análise estruturada pela API da Claude.</w:t>
      </w:r>
    </w:p>
    <w:p>
      <w:pPr>
        <w:spacing w:after="120" w:before="80" w:line="276"/>
      </w:pPr>
      <w:r>
        <w:rPr>
          <w:b/>
          <w:bCs/>
        </w:rPr>
        <w:t xml:space="preserve">Boa prática de segurança no fluxo de IA: </w:t>
      </w:r>
      <w:r>
        <w:t xml:space="preserve">a chave da API nunca fica no código do site (que é público). A chamada à Claude passa por um backend, que guarda a chave com segurança — o mesmo princípio de menor privilégio e proteção de segredos descrito na seção de segurança. Os detalhes da implementação constam na documentação técnica do repositório.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11. Considerações Finais</w:t>
      </w:r>
    </w:p>
    <w:p>
      <w:pPr>
        <w:spacing w:after="120" w:before="0" w:line="276"/>
      </w:pPr>
      <w:r>
        <w:t xml:space="preserve">Este documento elevou a Remio de um protótipo funcional para uma plataforma pensada de ponta a ponta sob critérios profissionais de engenharia: arquitetura em camadas com evolução planejada de monólito a microsserviços, segurança em profundidade, observabilidade nos três pilares, resiliência a falhas, gestão de backups, verificação contínua de saúde e de qualidade de dados, metodologia spec-driven com CI/CD, rastreamento de erros e uso aplicado de Inteligência Artificial.</w:t>
      </w:r>
    </w:p>
    <w:p>
      <w:pPr>
        <w:spacing w:after="120" w:before="0" w:line="276"/>
      </w:pPr>
      <w:r>
        <w:t xml:space="preserve">Em conjunto, esses elementos demonstram maturidade arquitetural e respondem diretamente às melhorias sugeridas pelo orientador, fortalecendo a fundamentação técnica do trabalho. O protótipo permanece como prova de conceito da experiência do usuário e da camada de BI, enquanto esta arquitetura define o caminho para a operação real e escalável da plataforma.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Remio — Arquitetura, Segurança e Qualidade  |  </w:t>
    </w: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A580C" w:sz="6" w:space="4"/>
      </w:pBdr>
      <w:spacing w:after="160" w:before="320"/>
      <w:outlineLvl w:val="0"/>
    </w:pPr>
    <w:rPr>
      <w:rFonts w:ascii="Arial" w:cs="Arial" w:eastAsia="Arial" w:hAnsi="Arial"/>
      <w:b/>
      <w:bCs/>
      <w:color w:val="EA58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3845989142532bfbe2a3a90f04e60d1e9928cde.png"/><Relationship Id="rId9" Type="http://schemas.openxmlformats.org/officeDocument/2006/relationships/image" Target="media/f465f6bd981bd0d0aa1da91b97e653e1e8e8bd08.png"/><Relationship Id="rId10" Type="http://schemas.openxmlformats.org/officeDocument/2006/relationships/image" Target="media/59368a485c52829914f2cb7c06b0bbd0eb888159.png"/><Relationship Id="rId11" Type="http://schemas.openxmlformats.org/officeDocument/2006/relationships/image" Target="media/2f75a90fb724d0a6b1e5669652457a2e035b6c36.png"/><Relationship Id="rId12" Type="http://schemas.openxmlformats.org/officeDocument/2006/relationships/image" Target="media/371d771c88709f399f6ef0a19f382798cd9a8c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Arquitetura, Segurança e Qualidade — Remio</dc:title>
  <dc:creator>Equipe Remio — TCC UNIFOR</dc:creator>
  <cp:lastModifiedBy>Un-named</cp:lastModifiedBy>
  <cp:revision>1</cp:revision>
  <dcterms:created xsi:type="dcterms:W3CDTF">2026-06-19T12:12:56.065Z</dcterms:created>
  <dcterms:modified xsi:type="dcterms:W3CDTF">2026-06-19T12:12:56.069Z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