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header+xml" PartName="/word/header3.xml"/>
  <Override ContentType="application/vnd.openxmlformats-officedocument.wordprocessingml.header+xml" PartName="/word/header4.xml"/>
  <Override ContentType="application/vnd.openxmlformats-officedocument.wordprocessingml.header+xml" PartName="/word/header5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700"/>
      </w:pPr>
    </w:p>
    <w:p>
      <w:pPr>
        <w:spacing w:after="80" w:before="0" w:line="360"/>
        <w:jc w:val="center"/>
      </w:pPr>
      <w:r>
        <w:rPr>
          <w:b/>
          <w:bCs/>
          <w:color w:val="EA580C"/>
          <w:sz w:val="72"/>
          <w:szCs w:val="72"/>
        </w:rPr>
        <w:t xml:space="preserve">REMIO</w:t>
      </w:r>
    </w:p>
    <w:p>
      <w:pPr>
        <w:spacing w:after="560" w:before="0" w:line="360"/>
        <w:jc w:val="center"/>
      </w:pPr>
      <w:r>
        <w:rPr>
          <w:color w:val="1F2937"/>
          <w:sz w:val="28"/>
          <w:szCs w:val="28"/>
        </w:rPr>
        <w:t xml:space="preserve">Plataforma de Serviços Domésticos</w:t>
      </w:r>
    </w:p>
    <w:p>
      <w:pPr>
        <w:spacing w:after="60" w:before="0" w:line="360"/>
        <w:jc w:val="center"/>
      </w:pPr>
      <w:r>
        <w:rPr>
          <w:b/>
          <w:bCs/>
          <w:color w:val="1F2937"/>
          <w:sz w:val="38"/>
          <w:szCs w:val="38"/>
        </w:rPr>
        <w:t xml:space="preserve">ENGENHARIA DE DADOS</w:t>
      </w:r>
    </w:p>
    <w:p>
      <w:pPr>
        <w:spacing w:after="40" w:before="0" w:line="360"/>
        <w:jc w:val="center"/>
      </w:pPr>
      <w:r>
        <w:rPr>
          <w:color w:val="6B7280"/>
          <w:sz w:val="24"/>
          <w:szCs w:val="24"/>
        </w:rPr>
        <w:t xml:space="preserve">Banco transacional, Data Warehouse e ETL</w:t>
      </w:r>
    </w:p>
    <w:p>
      <w:pPr>
        <w:spacing w:after="1100" w:before="0" w:line="360"/>
        <w:jc w:val="center"/>
      </w:pPr>
      <w:r>
        <w:rPr>
          <w:color w:val="6B7280"/>
          <w:sz w:val="20"/>
          <w:szCs w:val="20"/>
        </w:rPr>
        <w:t xml:space="preserve">PostgreSQL  ·  Modelo Dimensional  ·  Pentaho Data Integration</w:t>
      </w:r>
    </w:p>
    <w:p>
      <w:pPr>
        <w:spacing w:after="80" w:before="0" w:line="360"/>
        <w:jc w:val="center"/>
      </w:pPr>
      <w:r>
        <w:rPr>
          <w:color w:val="1F2937"/>
          <w:sz w:val="24"/>
          <w:szCs w:val="24"/>
        </w:rPr>
        <w:t xml:space="preserve">Trabalho de Conclusão de Curso</w:t>
      </w:r>
    </w:p>
    <w:p>
      <w:pPr>
        <w:spacing w:after="80" w:before="0" w:line="360"/>
        <w:jc w:val="center"/>
      </w:pPr>
      <w:r>
        <w:rPr>
          <w:color w:val="1F2937"/>
          <w:sz w:val="24"/>
          <w:szCs w:val="24"/>
        </w:rPr>
        <w:t xml:space="preserve">MBA em Gestão Analítica com BI e Big Data</w:t>
      </w:r>
    </w:p>
    <w:p>
      <w:pPr>
        <w:spacing w:after="700" w:before="0" w:line="360"/>
        <w:jc w:val="center"/>
      </w:pPr>
      <w:r>
        <w:rPr>
          <w:color w:val="1F2937"/>
          <w:sz w:val="24"/>
          <w:szCs w:val="24"/>
        </w:rPr>
        <w:t xml:space="preserve">Universidade de Fortaleza — UNIFOR</w:t>
      </w:r>
    </w:p>
    <w:p>
      <w:pPr>
        <w:spacing w:after="120" w:before="0" w:line="360"/>
        <w:jc w:val="center"/>
      </w:pPr>
      <w:r>
        <w:rPr>
          <w:color w:val="6B7280"/>
          <w:sz w:val="22"/>
          <w:szCs w:val="22"/>
        </w:rPr>
        <w:t xml:space="preserve">Fortaleza — CE, 2026</w:t>
      </w:r>
    </w:p>
    <w:p>
      <w:r>
        <w:br w:type="page"/>
      </w:r>
    </w:p>
    <w:p>
      <w:pPr>
        <w:spacing w:after="360" w:before="0" w:line="360"/>
        <w:jc w:val="center"/>
      </w:pPr>
      <w:r>
        <w:rPr>
          <w:b/>
          <w:bCs/>
          <w:color w:val="1F2937"/>
          <w:sz w:val="24"/>
          <w:szCs w:val="24"/>
        </w:rPr>
        <w:t xml:space="preserve">SUMÁRIO</w:t>
      </w:r>
    </w:p>
    <w:p>
      <w:pPr>
        <w:tabs>
          <w:tab w:val="right" w:pos="9071" w:leader="dot"/>
        </w:tabs>
        <w:spacing w:after="120" w:line="360"/>
      </w:pPr>
      <w:r>
        <w:rPr>
          <w:color w:val="1F2937"/>
          <w:sz w:val="24"/>
          <w:szCs w:val="24"/>
        </w:rPr>
        <w:t xml:space="preserve">1 Visão Geral da Arquitetura de Dados</w:t>
      </w:r>
      <w:r>
        <w:rPr>
          <w:color w:val="1F2937"/>
          <w:sz w:val="24"/>
          <w:szCs w:val="24"/>
        </w:rPr>
        <w:t xml:space="preserve">	3</w:t>
      </w:r>
    </w:p>
    <w:p>
      <w:pPr>
        <w:tabs>
          <w:tab w:val="right" w:pos="9071" w:leader="dot"/>
        </w:tabs>
        <w:spacing w:after="120" w:line="360"/>
      </w:pPr>
      <w:r>
        <w:rPr>
          <w:color w:val="1F2937"/>
          <w:sz w:val="24"/>
          <w:szCs w:val="24"/>
        </w:rPr>
        <w:t xml:space="preserve">2 Banco de Dados Transacional (OLTP)</w:t>
      </w:r>
      <w:r>
        <w:rPr>
          <w:color w:val="1F2937"/>
          <w:sz w:val="24"/>
          <w:szCs w:val="24"/>
        </w:rPr>
        <w:t xml:space="preserve">	4</w:t>
      </w:r>
    </w:p>
    <w:p>
      <w:pPr>
        <w:tabs>
          <w:tab w:val="right" w:pos="9071" w:leader="dot"/>
        </w:tabs>
        <w:spacing w:after="120" w:line="360"/>
      </w:pPr>
      <w:r>
        <w:rPr>
          <w:color w:val="1F2937"/>
          <w:sz w:val="24"/>
          <w:szCs w:val="24"/>
        </w:rPr>
        <w:t xml:space="preserve">     2.1 Modelo de Dados (DER)</w:t>
      </w:r>
      <w:r>
        <w:rPr>
          <w:color w:val="1F2937"/>
          <w:sz w:val="24"/>
          <w:szCs w:val="24"/>
        </w:rPr>
        <w:t xml:space="preserve">	4</w:t>
      </w:r>
    </w:p>
    <w:p>
      <w:pPr>
        <w:tabs>
          <w:tab w:val="right" w:pos="9071" w:leader="dot"/>
        </w:tabs>
        <w:spacing w:after="120" w:line="360"/>
      </w:pPr>
      <w:r>
        <w:rPr>
          <w:color w:val="1F2937"/>
          <w:sz w:val="24"/>
          <w:szCs w:val="24"/>
        </w:rPr>
        <w:t xml:space="preserve">     2.2 Dicionário de Dados</w:t>
      </w:r>
      <w:r>
        <w:rPr>
          <w:color w:val="1F2937"/>
          <w:sz w:val="24"/>
          <w:szCs w:val="24"/>
        </w:rPr>
        <w:t xml:space="preserve">	6</w:t>
      </w:r>
    </w:p>
    <w:p>
      <w:pPr>
        <w:tabs>
          <w:tab w:val="right" w:pos="9071" w:leader="dot"/>
        </w:tabs>
        <w:spacing w:after="120" w:line="360"/>
      </w:pPr>
      <w:r>
        <w:rPr>
          <w:color w:val="1F2937"/>
          <w:sz w:val="24"/>
          <w:szCs w:val="24"/>
        </w:rPr>
        <w:t xml:space="preserve">3 Data Warehouse (Modelo Dimensional)</w:t>
      </w:r>
      <w:r>
        <w:rPr>
          <w:color w:val="1F2937"/>
          <w:sz w:val="24"/>
          <w:szCs w:val="24"/>
        </w:rPr>
        <w:t xml:space="preserve">	8</w:t>
      </w:r>
    </w:p>
    <w:p>
      <w:pPr>
        <w:tabs>
          <w:tab w:val="right" w:pos="9071" w:leader="dot"/>
        </w:tabs>
        <w:spacing w:after="120" w:line="360"/>
      </w:pPr>
      <w:r>
        <w:rPr>
          <w:color w:val="1F2937"/>
          <w:sz w:val="24"/>
          <w:szCs w:val="24"/>
        </w:rPr>
        <w:t xml:space="preserve">     3.1 Esquema Estrela</w:t>
      </w:r>
      <w:r>
        <w:rPr>
          <w:color w:val="1F2937"/>
          <w:sz w:val="24"/>
          <w:szCs w:val="24"/>
        </w:rPr>
        <w:t xml:space="preserve">	8</w:t>
      </w:r>
    </w:p>
    <w:p>
      <w:pPr>
        <w:tabs>
          <w:tab w:val="right" w:pos="9071" w:leader="dot"/>
        </w:tabs>
        <w:spacing w:after="120" w:line="360"/>
      </w:pPr>
      <w:r>
        <w:rPr>
          <w:color w:val="1F2937"/>
          <w:sz w:val="24"/>
          <w:szCs w:val="24"/>
        </w:rPr>
        <w:t xml:space="preserve">     3.2 Dimensões</w:t>
      </w:r>
      <w:r>
        <w:rPr>
          <w:color w:val="1F2937"/>
          <w:sz w:val="24"/>
          <w:szCs w:val="24"/>
        </w:rPr>
        <w:t xml:space="preserve">	10</w:t>
      </w:r>
    </w:p>
    <w:p>
      <w:pPr>
        <w:tabs>
          <w:tab w:val="right" w:pos="9071" w:leader="dot"/>
        </w:tabs>
        <w:spacing w:after="120" w:line="360"/>
      </w:pPr>
      <w:r>
        <w:rPr>
          <w:color w:val="1F2937"/>
          <w:sz w:val="24"/>
          <w:szCs w:val="24"/>
        </w:rPr>
        <w:t xml:space="preserve">     3.3 Tabelas de Fato</w:t>
      </w:r>
      <w:r>
        <w:rPr>
          <w:color w:val="1F2937"/>
          <w:sz w:val="24"/>
          <w:szCs w:val="24"/>
        </w:rPr>
        <w:t xml:space="preserve">	10</w:t>
      </w:r>
    </w:p>
    <w:p>
      <w:pPr>
        <w:tabs>
          <w:tab w:val="right" w:pos="9071" w:leader="dot"/>
        </w:tabs>
        <w:spacing w:after="120" w:line="360"/>
      </w:pPr>
      <w:r>
        <w:rPr>
          <w:color w:val="1F2937"/>
          <w:sz w:val="24"/>
          <w:szCs w:val="24"/>
        </w:rPr>
        <w:t xml:space="preserve">4 Processo de ETL no Pentaho (PDI)</w:t>
      </w:r>
      <w:r>
        <w:rPr>
          <w:color w:val="1F2937"/>
          <w:sz w:val="24"/>
          <w:szCs w:val="24"/>
        </w:rPr>
        <w:t xml:space="preserve">	11</w:t>
      </w:r>
    </w:p>
    <w:p>
      <w:pPr>
        <w:tabs>
          <w:tab w:val="right" w:pos="9071" w:leader="dot"/>
        </w:tabs>
        <w:spacing w:after="120" w:line="360"/>
      </w:pPr>
      <w:r>
        <w:rPr>
          <w:color w:val="1F2937"/>
          <w:sz w:val="24"/>
          <w:szCs w:val="24"/>
        </w:rPr>
        <w:t xml:space="preserve">     4.1 Job Principal de Carga</w:t>
      </w:r>
      <w:r>
        <w:rPr>
          <w:color w:val="1F2937"/>
          <w:sz w:val="24"/>
          <w:szCs w:val="24"/>
        </w:rPr>
        <w:t xml:space="preserve">	11</w:t>
      </w:r>
    </w:p>
    <w:p>
      <w:pPr>
        <w:tabs>
          <w:tab w:val="right" w:pos="9071" w:leader="dot"/>
        </w:tabs>
        <w:spacing w:after="120" w:line="360"/>
      </w:pPr>
      <w:r>
        <w:rPr>
          <w:color w:val="1F2937"/>
          <w:sz w:val="24"/>
          <w:szCs w:val="24"/>
        </w:rPr>
        <w:t xml:space="preserve">     4.2 Anatomia de uma Transformation</w:t>
      </w:r>
      <w:r>
        <w:rPr>
          <w:color w:val="1F2937"/>
          <w:sz w:val="24"/>
          <w:szCs w:val="24"/>
        </w:rPr>
        <w:t xml:space="preserve">	11</w:t>
      </w:r>
    </w:p>
    <w:p>
      <w:pPr>
        <w:tabs>
          <w:tab w:val="right" w:pos="9071" w:leader="dot"/>
        </w:tabs>
        <w:spacing w:after="120" w:line="360"/>
      </w:pPr>
      <w:r>
        <w:rPr>
          <w:color w:val="1F2937"/>
          <w:sz w:val="24"/>
          <w:szCs w:val="24"/>
        </w:rPr>
        <w:t xml:space="preserve">     4.3 Transformations e Estratégia de Carga</w:t>
      </w:r>
      <w:r>
        <w:rPr>
          <w:color w:val="1F2937"/>
          <w:sz w:val="24"/>
          <w:szCs w:val="24"/>
        </w:rPr>
        <w:t xml:space="preserve">	12</w:t>
      </w:r>
    </w:p>
    <w:p>
      <w:pPr>
        <w:tabs>
          <w:tab w:val="right" w:pos="9071" w:leader="dot"/>
        </w:tabs>
        <w:spacing w:after="120" w:line="360"/>
      </w:pPr>
      <w:r>
        <w:rPr>
          <w:color w:val="1F2937"/>
          <w:sz w:val="24"/>
          <w:szCs w:val="24"/>
        </w:rPr>
        <w:t xml:space="preserve">5 Do Dado ao Indicador — Mapeamento para os Dashboards</w:t>
      </w:r>
      <w:r>
        <w:rPr>
          <w:color w:val="1F2937"/>
          <w:sz w:val="24"/>
          <w:szCs w:val="24"/>
        </w:rPr>
        <w:t xml:space="preserve">	13</w:t>
      </w:r>
    </w:p>
    <w:p>
      <w:pPr>
        <w:tabs>
          <w:tab w:val="right" w:pos="9071" w:leader="dot"/>
        </w:tabs>
        <w:spacing w:after="120" w:line="360"/>
      </w:pPr>
      <w:r>
        <w:rPr>
          <w:color w:val="1F2937"/>
          <w:sz w:val="24"/>
          <w:szCs w:val="24"/>
        </w:rPr>
        <w:t xml:space="preserve">6 Evolução para Big Data</w:t>
      </w:r>
      <w:r>
        <w:rPr>
          <w:color w:val="1F2937"/>
          <w:sz w:val="24"/>
          <w:szCs w:val="24"/>
        </w:rPr>
        <w:t xml:space="preserve">	14</w:t>
      </w:r>
    </w:p>
    <w:p>
      <w:r>
        <w:br w:type="page"/>
      </w:r>
    </w:p>
    <w:p>
      <w:pPr>
        <w:pStyle w:val="Heading1"/>
        <w:spacing w:after="200" w:before="320" w:line="360"/>
      </w:pPr>
      <w:r>
        <w:t xml:space="preserve">1 VISÃO GERAL DA ARQUITETURA DE DADOS</w:t>
      </w:r>
    </w:p>
    <w:p>
      <w:pPr>
        <w:spacing w:after="120" w:before="0" w:line="360"/>
        <w:ind w:firstLine="709"/>
        <w:jc w:val="both"/>
      </w:pPr>
      <w:r>
        <w:t xml:space="preserve">A engenharia de dados da plataforma Remio adota a arquitetura clássica de Business Intelligence, separando o ambiente operacional (onde a aplicação grava as transações do dia a dia) do ambiente analítico (otimizado para consultas e indicadores). O fluxo conecta cinco componentes, do site até os dashboards.</w:t>
      </w:r>
    </w:p>
    <w:p>
      <w:pPr>
        <w:spacing w:after="40" w:before="160"/>
        <w:jc w:val="center"/>
      </w:pPr>
      <w:r>
        <w:rPr>
          <w:color w:val="1F2937"/>
          <w:sz w:val="20"/>
          <w:szCs w:val="20"/>
        </w:rPr>
        <w:t xml:space="preserve">Figura 1 — Arquitetura geral de dados: do aplicativo aos dashboards de BI.</w:t>
      </w:r>
    </w:p>
    <w:p>
      <w:pPr>
        <w:spacing w:after="40"/>
        <w:jc w:val="center"/>
      </w:pPr>
      <w:r>
        <w:drawing>
          <wp:inline distT="0" distB="0" distL="0" distR="0">
            <wp:extent cx="5943600" cy="1000125"/>
            <wp:effectExtent t="0" r="0" b="0" l="0"/>
            <wp:docPr id="1" name="1-arquitetura.png" descr="Figura 1 — Arquitetura geral de dados: do aplicativo aos dashboards de BI." title="Figura 1 — Arquitetura geral de dados: do aplicativo aos dashboards de BI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color w:val="1F2937"/>
          <w:sz w:val="20"/>
          <w:szCs w:val="20"/>
        </w:rPr>
        <w:t xml:space="preserve">Fonte: elaborado pelos autores (2026).</w:t>
      </w:r>
    </w:p>
    <w:p>
      <w:pPr>
        <w:spacing w:after="120" w:before="0" w:line="360"/>
        <w:ind w:firstLine="709"/>
        <w:jc w:val="both"/>
      </w:pPr>
      <w:r>
        <w:t xml:space="preserve">O percurso do dado acontece em quatro etapas: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b/>
          <w:bCs/>
        </w:rPr>
        <w:t xml:space="preserve">Captura (OLTP): </w:t>
      </w:r>
      <w:r>
        <w:t xml:space="preserve">a aplicação grava cada ação — cadastro, pedido, orçamento, pagamento e avaliação — no banco transacional PostgreSQL, modelado de forma normalizada para garantir integridade.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b/>
          <w:bCs/>
        </w:rPr>
        <w:t xml:space="preserve">Extração e transformação (ETL): </w:t>
      </w:r>
      <w:r>
        <w:t xml:space="preserve">o Pentaho Data Integration (PDI) lê os dados do OLTP, aplica limpezas, conversões e o cálculo das chaves substitutas, e os organiza no formato dimensional.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b/>
          <w:bCs/>
        </w:rPr>
        <w:t xml:space="preserve">Armazenamento analítico (DW): </w:t>
      </w:r>
      <w:r>
        <w:t xml:space="preserve">o Data Warehouse, também em PostgreSQL, guarda os dados em um modelo estrela (dimensões e fatos), próprio para agregações rápidas.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b/>
          <w:bCs/>
        </w:rPr>
        <w:t xml:space="preserve">Visualização (BI): </w:t>
      </w:r>
      <w:r>
        <w:t xml:space="preserve">os três dashboards (cliente, prestador e empresa parceira) consultam o DW e exibem os indicadores.</w:t>
      </w:r>
    </w:p>
    <w:p>
      <w:pPr>
        <w:spacing w:after="120" w:before="80" w:line="360"/>
        <w:ind w:firstLine="709"/>
        <w:jc w:val="both"/>
      </w:pPr>
      <w:r>
        <w:rPr>
          <w:b/>
          <w:bCs/>
        </w:rPr>
        <w:t xml:space="preserve">Por que separar OLTP e DW? </w:t>
      </w:r>
      <w:r>
        <w:t xml:space="preserve">O banco transacional é otimizado para escritas pequenas e frequentes (muitos pedidos por segundo); o Data Warehouse é otimizado para leituras analíticas pesadas (somar o faturamento de meses). Misturar os dois degradaria tanto a operação quanto a análise — por isso a separação é uma boa prática consagrada em BI.</w:t>
      </w:r>
    </w:p>
    <w:p>
      <w:r>
        <w:br w:type="page"/>
      </w:r>
    </w:p>
    <w:p>
      <w:pPr>
        <w:pStyle w:val="Heading1"/>
        <w:spacing w:after="200" w:before="320" w:line="360"/>
      </w:pPr>
      <w:r>
        <w:t xml:space="preserve">2 BANCO DE DADOS TRANSACIONAL (OLTP)</w:t>
      </w:r>
    </w:p>
    <w:p>
      <w:pPr>
        <w:spacing w:after="120" w:before="0" w:line="360"/>
        <w:ind w:firstLine="709"/>
        <w:jc w:val="both"/>
      </w:pPr>
      <w:r>
        <w:t xml:space="preserve">O banco transacional (sigla OLTP, de Online Transaction Processing) sustenta a operação da plataforma. Foi modelado de forma normalizada — sem redundância — em 11 tabelas que representam usuários, prestadores, parceiros, pedidos, orçamentos, pagamentos, avaliações e indicações.</w:t>
      </w:r>
    </w:p>
    <w:p>
      <w:pPr>
        <w:pStyle w:val="Heading2"/>
        <w:spacing w:after="120" w:before="240" w:line="360"/>
      </w:pPr>
      <w:r>
        <w:t xml:space="preserve">2.1 Modelo de Dados (DER)</w:t>
      </w:r>
    </w:p>
    <w:p>
      <w:pPr>
        <w:spacing w:after="120" w:before="0" w:line="360"/>
        <w:ind w:firstLine="709"/>
        <w:jc w:val="both"/>
      </w:pPr>
      <w:r>
        <w:t xml:space="preserve">O Diagrama Entidade-Relacionamento (DER) — apresentado na página a seguir, em formato ampliado — mostra as tabelas e seus relacionamentos. A entidade central é o pedido, que conecta o cliente, o prestador, a categoria e o endereço, e do qual derivam o orçamento, o pagamento e a avaliação.</w:t>
      </w:r>
    </w:p>
    <w:p>
      <w:pPr>
        <w:sectPr>
          <w:headerReference w:type="default" r:id="rId7"/>
          <w:pgSz w:w="11906" w:h="16838" w:orient="portrait"/>
          <w:pgMar w:top="1701" w:right="1134" w:bottom="1134" w:left="1701" w:header="708" w:footer="708" w:gutter="0"/>
          <w:pgNumType/>
          <w:docGrid w:linePitch="360"/>
        </w:sectPr>
      </w:pPr>
    </w:p>
    <w:p>
      <w:pPr>
        <w:spacing w:after="40" w:before="160"/>
        <w:jc w:val="center"/>
      </w:pPr>
      <w:r>
        <w:rPr>
          <w:color w:val="1F2937"/>
          <w:sz w:val="20"/>
          <w:szCs w:val="20"/>
        </w:rPr>
        <w:t xml:space="preserve">Figura 2 — Diagrama Entidade-Relacionamento do banco transacional (OLTP).</w:t>
      </w:r>
    </w:p>
    <w:p>
      <w:pPr>
        <w:spacing w:after="40"/>
        <w:jc w:val="center"/>
      </w:pPr>
      <w:r>
        <w:drawing>
          <wp:inline distT="0" distB="0" distL="0" distR="0">
            <wp:extent cx="7334250" cy="4819650"/>
            <wp:effectExtent t="0" r="0" b="0" l="0"/>
            <wp:docPr id="1" name="2-der-oltp.png" descr="Figura 2 — Diagrama Entidade-Relacionamento do banco transacional (OLTP)." title="Figura 2 — Diagrama Entidade-Relacionamento do banco transacional (OLTP)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34250" cy="481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color w:val="1F2937"/>
          <w:sz w:val="20"/>
          <w:szCs w:val="20"/>
        </w:rPr>
        <w:t xml:space="preserve">Fonte: elaborado pelos autores (2026).</w:t>
      </w:r>
    </w:p>
    <w:p>
      <w:pPr>
        <w:sectPr>
          <w:headerReference w:type="default" r:id="rId8"/>
          <w:pgSz w:w="16838" w:h="11906" w:orient="landscape"/>
          <w:pgMar w:top="1701" w:right="1134" w:bottom="1134" w:left="1701" w:header="708" w:footer="708" w:gutter="0"/>
          <w:pgNumType/>
          <w:docGrid w:linePitch="360"/>
        </w:sectPr>
      </w:pPr>
    </w:p>
    <w:p>
      <w:pPr>
        <w:spacing w:after="120" w:before="80" w:line="360"/>
        <w:ind w:firstLine="709"/>
        <w:jc w:val="both"/>
      </w:pPr>
      <w:r>
        <w:t xml:space="preserve">A tabela a seguir resume a finalidade de cada entidade: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26"/>
        <w:gridCol w:w="6745"/>
      </w:tblGrid>
      <w:tr>
        <w:trPr>
          <w:tblHeader/>
        </w:trPr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Tabela</w:t>
            </w:r>
          </w:p>
        </w:tc>
        <w:tc>
          <w:tcPr>
            <w:tcW w:type="dxa" w:w="674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Finalidade</w:t>
            </w:r>
          </w:p>
        </w:tc>
      </w:tr>
      <w:tr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usuario</w:t>
            </w:r>
          </w:p>
        </w:tc>
        <w:tc>
          <w:tcPr>
            <w:tcW w:type="dxa" w:w="674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Conta base de qualquer perfil (cliente, prestador ou parceiro).</w:t>
            </w:r>
          </w:p>
        </w:tc>
      </w:tr>
      <w:tr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categoria_servico</w:t>
            </w:r>
          </w:p>
        </w:tc>
        <w:tc>
          <w:tcPr>
            <w:tcW w:type="dxa" w:w="674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Tipos de serviço doméstico (faxina, elétrica, hidráulica, etc.).</w:t>
            </w:r>
          </w:p>
        </w:tc>
      </w:tr>
      <w:tr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prestador</w:t>
            </w:r>
          </w:p>
        </w:tc>
        <w:tc>
          <w:tcPr>
            <w:tcW w:type="dxa" w:w="674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Dados profissionais do prestador (plano, verificação, faixa de preço).</w:t>
            </w:r>
          </w:p>
        </w:tc>
      </w:tr>
      <w:tr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prestador_categoria</w:t>
            </w:r>
          </w:p>
        </w:tc>
        <w:tc>
          <w:tcPr>
            <w:tcW w:type="dxa" w:w="674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Relação N:N entre prestador e as categorias que ele atende.</w:t>
            </w:r>
          </w:p>
        </w:tc>
      </w:tr>
      <w:tr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parceiro</w:t>
            </w:r>
          </w:p>
        </w:tc>
        <w:tc>
          <w:tcPr>
            <w:tcW w:type="dxa" w:w="674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Empresas parceiras (lojas e fornecedores).</w:t>
            </w:r>
          </w:p>
        </w:tc>
      </w:tr>
      <w:tr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endereco</w:t>
            </w:r>
          </w:p>
        </w:tc>
        <w:tc>
          <w:tcPr>
            <w:tcW w:type="dxa" w:w="674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Endereços dos usuários (local de execução do serviço).</w:t>
            </w:r>
          </w:p>
        </w:tc>
      </w:tr>
      <w:tr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pedido</w:t>
            </w:r>
          </w:p>
        </w:tc>
        <w:tc>
          <w:tcPr>
            <w:tcW w:type="dxa" w:w="674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Solicitação de serviço — entidade central da operação.</w:t>
            </w:r>
          </w:p>
        </w:tc>
      </w:tr>
      <w:tr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orcamento</w:t>
            </w:r>
          </w:p>
        </w:tc>
        <w:tc>
          <w:tcPr>
            <w:tcW w:type="dxa" w:w="674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Propostas de valor enviadas pelos prestadores.</w:t>
            </w:r>
          </w:p>
        </w:tc>
      </w:tr>
      <w:tr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pagamento</w:t>
            </w:r>
          </w:p>
        </w:tc>
        <w:tc>
          <w:tcPr>
            <w:tcW w:type="dxa" w:w="674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Pagamento Protegido (custódia), com a comissão de 15%.</w:t>
            </w:r>
          </w:p>
        </w:tc>
      </w:tr>
      <w:tr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avaliacao</w:t>
            </w:r>
          </w:p>
        </w:tc>
        <w:tc>
          <w:tcPr>
            <w:tcW w:type="dxa" w:w="674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Nota e comentário do cliente após o serviço.</w:t>
            </w:r>
          </w:p>
        </w:tc>
      </w:tr>
      <w:tr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parceiro_indicacao</w:t>
            </w:r>
          </w:p>
        </w:tc>
        <w:tc>
          <w:tcPr>
            <w:tcW w:type="dxa" w:w="674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Indicações geradas para os parceiros.</w:t>
            </w:r>
          </w:p>
        </w:tc>
      </w:tr>
    </w:tbl>
    <w:p>
      <w:pPr>
        <w:pStyle w:val="Heading2"/>
        <w:spacing w:after="120" w:before="240" w:line="360"/>
      </w:pPr>
      <w:r>
        <w:t xml:space="preserve">2.2 Dicionário de Dados</w:t>
      </w:r>
    </w:p>
    <w:p>
      <w:pPr>
        <w:spacing w:after="120" w:before="0" w:line="360"/>
        <w:ind w:firstLine="709"/>
        <w:jc w:val="both"/>
      </w:pPr>
      <w:r>
        <w:t xml:space="preserve">Detalhamento das colunas das tabelas centrais da operação. O script completo, com todas as 11 tabelas, índices e restrições, está no arquivo 01-oltp-schema.sql do repositório.</w:t>
      </w:r>
    </w:p>
    <w:p>
      <w:pPr>
        <w:spacing w:after="60" w:before="60"/>
      </w:pPr>
      <w:r>
        <w:rPr>
          <w:rFonts w:ascii="Consolas" w:cs="Consolas" w:eastAsia="Consolas" w:hAnsi="Consolas"/>
          <w:b/>
          <w:bCs/>
          <w:color w:val="1F2937"/>
          <w:sz w:val="19"/>
          <w:szCs w:val="19"/>
        </w:rPr>
        <w:t xml:space="preserve">usuario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26"/>
        <w:gridCol w:w="2132"/>
        <w:gridCol w:w="4613"/>
      </w:tblGrid>
      <w:tr>
        <w:trPr>
          <w:tblHeader/>
        </w:trPr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Coluna</w:t>
            </w:r>
          </w:p>
        </w:tc>
        <w:tc>
          <w:tcPr>
            <w:tcW w:type="dxa" w:w="21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46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id</w:t>
            </w:r>
          </w:p>
        </w:tc>
        <w:tc>
          <w:tcPr>
            <w:tcW w:type="dxa" w:w="21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BIGSERIAL</w:t>
            </w:r>
          </w:p>
        </w:tc>
        <w:tc>
          <w:tcPr>
            <w:tcW w:type="dxa" w:w="46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Identificador único (chave primária).</w:t>
            </w:r>
          </w:p>
        </w:tc>
      </w:tr>
      <w:tr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nome</w:t>
            </w:r>
          </w:p>
        </w:tc>
        <w:tc>
          <w:tcPr>
            <w:tcW w:type="dxa" w:w="21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VARCHAR(150)</w:t>
            </w:r>
          </w:p>
        </w:tc>
        <w:tc>
          <w:tcPr>
            <w:tcW w:type="dxa" w:w="46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Nome completo do usuário.</w:t>
            </w:r>
          </w:p>
        </w:tc>
      </w:tr>
      <w:tr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email</w:t>
            </w:r>
          </w:p>
        </w:tc>
        <w:tc>
          <w:tcPr>
            <w:tcW w:type="dxa" w:w="21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VARCHAR(150)</w:t>
            </w:r>
          </w:p>
        </w:tc>
        <w:tc>
          <w:tcPr>
            <w:tcW w:type="dxa" w:w="46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E-mail de login (único).</w:t>
            </w:r>
          </w:p>
        </w:tc>
      </w:tr>
      <w:tr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senha_hash</w:t>
            </w:r>
          </w:p>
        </w:tc>
        <w:tc>
          <w:tcPr>
            <w:tcW w:type="dxa" w:w="21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VARCHAR(255)</w:t>
            </w:r>
          </w:p>
        </w:tc>
        <w:tc>
          <w:tcPr>
            <w:tcW w:type="dxa" w:w="46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Hash da senha (nunca em texto puro).</w:t>
            </w:r>
          </w:p>
        </w:tc>
      </w:tr>
      <w:tr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tipo</w:t>
            </w:r>
          </w:p>
        </w:tc>
        <w:tc>
          <w:tcPr>
            <w:tcW w:type="dxa" w:w="21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46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Papel: cliente, prestador ou parceiro.</w:t>
            </w:r>
          </w:p>
        </w:tc>
      </w:tr>
      <w:tr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cidade / uf</w:t>
            </w:r>
          </w:p>
        </w:tc>
        <w:tc>
          <w:tcPr>
            <w:tcW w:type="dxa" w:w="21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VARCHAR / CHAR(2)</w:t>
            </w:r>
          </w:p>
        </w:tc>
        <w:tc>
          <w:tcPr>
            <w:tcW w:type="dxa" w:w="46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Localização do usuário.</w:t>
            </w:r>
          </w:p>
        </w:tc>
      </w:tr>
      <w:tr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data_cadastro</w:t>
            </w:r>
          </w:p>
        </w:tc>
        <w:tc>
          <w:tcPr>
            <w:tcW w:type="dxa" w:w="21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TIMESTAMP</w:t>
            </w:r>
          </w:p>
        </w:tc>
        <w:tc>
          <w:tcPr>
            <w:tcW w:type="dxa" w:w="46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Data e hora de criação da conta.</w:t>
            </w:r>
          </w:p>
        </w:tc>
      </w:tr>
      <w:tr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ativo</w:t>
            </w:r>
          </w:p>
        </w:tc>
        <w:tc>
          <w:tcPr>
            <w:tcW w:type="dxa" w:w="21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BOOLEAN</w:t>
            </w:r>
          </w:p>
        </w:tc>
        <w:tc>
          <w:tcPr>
            <w:tcW w:type="dxa" w:w="46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Indica se a conta está ativa.</w:t>
            </w:r>
          </w:p>
        </w:tc>
      </w:tr>
    </w:tbl>
    <w:p>
      <w:pPr>
        <w:spacing w:after="60" w:before="60"/>
      </w:pPr>
      <w:r>
        <w:rPr>
          <w:rFonts w:ascii="Consolas" w:cs="Consolas" w:eastAsia="Consolas" w:hAnsi="Consolas"/>
          <w:b/>
          <w:bCs/>
          <w:color w:val="1F2937"/>
          <w:sz w:val="19"/>
          <w:szCs w:val="19"/>
        </w:rPr>
        <w:t xml:space="preserve">prestador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26"/>
        <w:gridCol w:w="2132"/>
        <w:gridCol w:w="4613"/>
      </w:tblGrid>
      <w:tr>
        <w:trPr>
          <w:tblHeader/>
        </w:trPr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Coluna</w:t>
            </w:r>
          </w:p>
        </w:tc>
        <w:tc>
          <w:tcPr>
            <w:tcW w:type="dxa" w:w="21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46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id</w:t>
            </w:r>
          </w:p>
        </w:tc>
        <w:tc>
          <w:tcPr>
            <w:tcW w:type="dxa" w:w="21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BIGSERIAL</w:t>
            </w:r>
          </w:p>
        </w:tc>
        <w:tc>
          <w:tcPr>
            <w:tcW w:type="dxa" w:w="46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Identificador único.</w:t>
            </w:r>
          </w:p>
        </w:tc>
      </w:tr>
      <w:tr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usuario_id</w:t>
            </w:r>
          </w:p>
        </w:tc>
        <w:tc>
          <w:tcPr>
            <w:tcW w:type="dxa" w:w="21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BIGINT (FK)</w:t>
            </w:r>
          </w:p>
        </w:tc>
        <w:tc>
          <w:tcPr>
            <w:tcW w:type="dxa" w:w="46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Referência ao usuário (1:1).</w:t>
            </w:r>
          </w:p>
        </w:tc>
      </w:tr>
      <w:tr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plano</w:t>
            </w:r>
          </w:p>
        </w:tc>
        <w:tc>
          <w:tcPr>
            <w:tcW w:type="dxa" w:w="21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VARCHAR(10)</w:t>
            </w:r>
          </w:p>
        </w:tc>
        <w:tc>
          <w:tcPr>
            <w:tcW w:type="dxa" w:w="46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free ou pro (destaque na busca).</w:t>
            </w:r>
          </w:p>
        </w:tc>
      </w:tr>
      <w:tr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verificado</w:t>
            </w:r>
          </w:p>
        </w:tc>
        <w:tc>
          <w:tcPr>
            <w:tcW w:type="dxa" w:w="21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BOOLEAN</w:t>
            </w:r>
          </w:p>
        </w:tc>
        <w:tc>
          <w:tcPr>
            <w:tcW w:type="dxa" w:w="46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Selo de profissional verificado.</w:t>
            </w:r>
          </w:p>
        </w:tc>
      </w:tr>
      <w:tr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faixa_preco</w:t>
            </w:r>
          </w:p>
        </w:tc>
        <w:tc>
          <w:tcPr>
            <w:tcW w:type="dxa" w:w="21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SMALLINT</w:t>
            </w:r>
          </w:p>
        </w:tc>
        <w:tc>
          <w:tcPr>
            <w:tcW w:type="dxa" w:w="46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Faixa de preço: 1=$, 2=$$, 3=$$$.</w:t>
            </w:r>
          </w:p>
        </w:tc>
      </w:tr>
      <w:tr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preco_medio</w:t>
            </w:r>
          </w:p>
        </w:tc>
        <w:tc>
          <w:tcPr>
            <w:tcW w:type="dxa" w:w="21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NUMERIC(10,2)</w:t>
            </w:r>
          </w:p>
        </w:tc>
        <w:tc>
          <w:tcPr>
            <w:tcW w:type="dxa" w:w="46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Preço médio praticado.</w:t>
            </w:r>
          </w:p>
        </w:tc>
      </w:tr>
      <w:tr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nota_media</w:t>
            </w:r>
          </w:p>
        </w:tc>
        <w:tc>
          <w:tcPr>
            <w:tcW w:type="dxa" w:w="21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NUMERIC(3,2)</w:t>
            </w:r>
          </w:p>
        </w:tc>
        <w:tc>
          <w:tcPr>
            <w:tcW w:type="dxa" w:w="46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Média das avaliações recebidas.</w:t>
            </w:r>
          </w:p>
        </w:tc>
      </w:tr>
      <w:tr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total_avaliacoes</w:t>
            </w:r>
          </w:p>
        </w:tc>
        <w:tc>
          <w:tcPr>
            <w:tcW w:type="dxa" w:w="21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INTEGER</w:t>
            </w:r>
          </w:p>
        </w:tc>
        <w:tc>
          <w:tcPr>
            <w:tcW w:type="dxa" w:w="46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Quantidade de avaliações.</w:t>
            </w:r>
          </w:p>
        </w:tc>
      </w:tr>
    </w:tbl>
    <w:p>
      <w:pPr>
        <w:spacing w:after="60" w:before="60"/>
      </w:pPr>
      <w:r>
        <w:rPr>
          <w:rFonts w:ascii="Consolas" w:cs="Consolas" w:eastAsia="Consolas" w:hAnsi="Consolas"/>
          <w:b/>
          <w:bCs/>
          <w:color w:val="1F2937"/>
          <w:sz w:val="19"/>
          <w:szCs w:val="19"/>
        </w:rPr>
        <w:t xml:space="preserve">pedido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26"/>
        <w:gridCol w:w="2132"/>
        <w:gridCol w:w="4613"/>
      </w:tblGrid>
      <w:tr>
        <w:trPr>
          <w:tblHeader/>
        </w:trPr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Coluna</w:t>
            </w:r>
          </w:p>
        </w:tc>
        <w:tc>
          <w:tcPr>
            <w:tcW w:type="dxa" w:w="21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46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id</w:t>
            </w:r>
          </w:p>
        </w:tc>
        <w:tc>
          <w:tcPr>
            <w:tcW w:type="dxa" w:w="21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BIGSERIAL</w:t>
            </w:r>
          </w:p>
        </w:tc>
        <w:tc>
          <w:tcPr>
            <w:tcW w:type="dxa" w:w="46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Identificador único.</w:t>
            </w:r>
          </w:p>
        </w:tc>
      </w:tr>
      <w:tr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cliente_id</w:t>
            </w:r>
          </w:p>
        </w:tc>
        <w:tc>
          <w:tcPr>
            <w:tcW w:type="dxa" w:w="21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BIGINT (FK)</w:t>
            </w:r>
          </w:p>
        </w:tc>
        <w:tc>
          <w:tcPr>
            <w:tcW w:type="dxa" w:w="46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Cliente que abriu o pedido.</w:t>
            </w:r>
          </w:p>
        </w:tc>
      </w:tr>
      <w:tr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prestador_id</w:t>
            </w:r>
          </w:p>
        </w:tc>
        <w:tc>
          <w:tcPr>
            <w:tcW w:type="dxa" w:w="21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BIGINT (FK)</w:t>
            </w:r>
          </w:p>
        </w:tc>
        <w:tc>
          <w:tcPr>
            <w:tcW w:type="dxa" w:w="46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Prestador que executa (pode ser nulo no início).</w:t>
            </w:r>
          </w:p>
        </w:tc>
      </w:tr>
      <w:tr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categoria_id</w:t>
            </w:r>
          </w:p>
        </w:tc>
        <w:tc>
          <w:tcPr>
            <w:tcW w:type="dxa" w:w="21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INT (FK)</w:t>
            </w:r>
          </w:p>
        </w:tc>
        <w:tc>
          <w:tcPr>
            <w:tcW w:type="dxa" w:w="46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Categoria do serviço.</w:t>
            </w:r>
          </w:p>
        </w:tc>
      </w:tr>
      <w:tr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endereco_id</w:t>
            </w:r>
          </w:p>
        </w:tc>
        <w:tc>
          <w:tcPr>
            <w:tcW w:type="dxa" w:w="21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BIGINT (FK)</w:t>
            </w:r>
          </w:p>
        </w:tc>
        <w:tc>
          <w:tcPr>
            <w:tcW w:type="dxa" w:w="46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Endereço de execução.</w:t>
            </w:r>
          </w:p>
        </w:tc>
      </w:tr>
      <w:tr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titulo</w:t>
            </w:r>
          </w:p>
        </w:tc>
        <w:tc>
          <w:tcPr>
            <w:tcW w:type="dxa" w:w="21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VARCHAR(150)</w:t>
            </w:r>
          </w:p>
        </w:tc>
        <w:tc>
          <w:tcPr>
            <w:tcW w:type="dxa" w:w="46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Título do pedido.</w:t>
            </w:r>
          </w:p>
        </w:tc>
      </w:tr>
      <w:tr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status</w:t>
            </w:r>
          </w:p>
        </w:tc>
        <w:tc>
          <w:tcPr>
            <w:tcW w:type="dxa" w:w="21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46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aguardando, orcamento, agendado, concluido, avaliado, cancelado.</w:t>
            </w:r>
          </w:p>
        </w:tc>
      </w:tr>
      <w:tr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data_criacao</w:t>
            </w:r>
          </w:p>
        </w:tc>
        <w:tc>
          <w:tcPr>
            <w:tcW w:type="dxa" w:w="21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TIMESTAMP</w:t>
            </w:r>
          </w:p>
        </w:tc>
        <w:tc>
          <w:tcPr>
            <w:tcW w:type="dxa" w:w="46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Abertura do pedido.</w:t>
            </w:r>
          </w:p>
        </w:tc>
      </w:tr>
      <w:tr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data_conclusao</w:t>
            </w:r>
          </w:p>
        </w:tc>
        <w:tc>
          <w:tcPr>
            <w:tcW w:type="dxa" w:w="21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TIMESTAMP</w:t>
            </w:r>
          </w:p>
        </w:tc>
        <w:tc>
          <w:tcPr>
            <w:tcW w:type="dxa" w:w="46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Conclusão do serviço (usada no ETL incremental).</w:t>
            </w:r>
          </w:p>
        </w:tc>
      </w:tr>
    </w:tbl>
    <w:p>
      <w:pPr>
        <w:spacing w:after="60" w:before="60"/>
      </w:pPr>
      <w:r>
        <w:rPr>
          <w:rFonts w:ascii="Consolas" w:cs="Consolas" w:eastAsia="Consolas" w:hAnsi="Consolas"/>
          <w:b/>
          <w:bCs/>
          <w:color w:val="1F2937"/>
          <w:sz w:val="19"/>
          <w:szCs w:val="19"/>
        </w:rPr>
        <w:t xml:space="preserve">pagamento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26"/>
        <w:gridCol w:w="2132"/>
        <w:gridCol w:w="4613"/>
      </w:tblGrid>
      <w:tr>
        <w:trPr>
          <w:tblHeader/>
        </w:trPr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Coluna</w:t>
            </w:r>
          </w:p>
        </w:tc>
        <w:tc>
          <w:tcPr>
            <w:tcW w:type="dxa" w:w="21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46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id</w:t>
            </w:r>
          </w:p>
        </w:tc>
        <w:tc>
          <w:tcPr>
            <w:tcW w:type="dxa" w:w="21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BIGSERIAL</w:t>
            </w:r>
          </w:p>
        </w:tc>
        <w:tc>
          <w:tcPr>
            <w:tcW w:type="dxa" w:w="46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Identificador único.</w:t>
            </w:r>
          </w:p>
        </w:tc>
      </w:tr>
      <w:tr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pedido_id</w:t>
            </w:r>
          </w:p>
        </w:tc>
        <w:tc>
          <w:tcPr>
            <w:tcW w:type="dxa" w:w="21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BIGINT (FK)</w:t>
            </w:r>
          </w:p>
        </w:tc>
        <w:tc>
          <w:tcPr>
            <w:tcW w:type="dxa" w:w="46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Pedido associado (1:1).</w:t>
            </w:r>
          </w:p>
        </w:tc>
      </w:tr>
      <w:tr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valor_total</w:t>
            </w:r>
          </w:p>
        </w:tc>
        <w:tc>
          <w:tcPr>
            <w:tcW w:type="dxa" w:w="21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NUMERIC(10,2)</w:t>
            </w:r>
          </w:p>
        </w:tc>
        <w:tc>
          <w:tcPr>
            <w:tcW w:type="dxa" w:w="46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Valor pago pelo cliente.</w:t>
            </w:r>
          </w:p>
        </w:tc>
      </w:tr>
      <w:tr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percentual_comissao</w:t>
            </w:r>
          </w:p>
        </w:tc>
        <w:tc>
          <w:tcPr>
            <w:tcW w:type="dxa" w:w="21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NUMERIC(5,2)</w:t>
            </w:r>
          </w:p>
        </w:tc>
        <w:tc>
          <w:tcPr>
            <w:tcW w:type="dxa" w:w="46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Percentual da plataforma (padrão 15%).</w:t>
            </w:r>
          </w:p>
        </w:tc>
      </w:tr>
      <w:tr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valor_comissao</w:t>
            </w:r>
          </w:p>
        </w:tc>
        <w:tc>
          <w:tcPr>
            <w:tcW w:type="dxa" w:w="21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NUMERIC(10,2)</w:t>
            </w:r>
          </w:p>
        </w:tc>
        <w:tc>
          <w:tcPr>
            <w:tcW w:type="dxa" w:w="46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Comissão retida pela Remio.</w:t>
            </w:r>
          </w:p>
        </w:tc>
      </w:tr>
      <w:tr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valor_prestador</w:t>
            </w:r>
          </w:p>
        </w:tc>
        <w:tc>
          <w:tcPr>
            <w:tcW w:type="dxa" w:w="21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NUMERIC(10,2)</w:t>
            </w:r>
          </w:p>
        </w:tc>
        <w:tc>
          <w:tcPr>
            <w:tcW w:type="dxa" w:w="46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Valor repassado ao prestador.</w:t>
            </w:r>
          </w:p>
        </w:tc>
      </w:tr>
      <w:tr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metodo</w:t>
            </w:r>
          </w:p>
        </w:tc>
        <w:tc>
          <w:tcPr>
            <w:tcW w:type="dxa" w:w="21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46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pix, credito ou debito.</w:t>
            </w:r>
          </w:p>
        </w:tc>
      </w:tr>
      <w:tr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status</w:t>
            </w:r>
          </w:p>
        </w:tc>
        <w:tc>
          <w:tcPr>
            <w:tcW w:type="dxa" w:w="21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46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retido (custódia), liberado ou reembolsado.</w:t>
            </w:r>
          </w:p>
        </w:tc>
      </w:tr>
      <w:tr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data_liberacao</w:t>
            </w:r>
          </w:p>
        </w:tc>
        <w:tc>
          <w:tcPr>
            <w:tcW w:type="dxa" w:w="21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TIMESTAMP</w:t>
            </w:r>
          </w:p>
        </w:tc>
        <w:tc>
          <w:tcPr>
            <w:tcW w:type="dxa" w:w="46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Quando o valor foi liberado ao prestador.</w:t>
            </w:r>
          </w:p>
        </w:tc>
      </w:tr>
    </w:tbl>
    <w:p>
      <w:pPr>
        <w:spacing w:after="60" w:before="60"/>
      </w:pPr>
      <w:r>
        <w:rPr>
          <w:rFonts w:ascii="Consolas" w:cs="Consolas" w:eastAsia="Consolas" w:hAnsi="Consolas"/>
          <w:b/>
          <w:bCs/>
          <w:color w:val="1F2937"/>
          <w:sz w:val="19"/>
          <w:szCs w:val="19"/>
        </w:rPr>
        <w:t xml:space="preserve">avaliacao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26"/>
        <w:gridCol w:w="2132"/>
        <w:gridCol w:w="4613"/>
      </w:tblGrid>
      <w:tr>
        <w:trPr>
          <w:tblHeader/>
        </w:trPr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Coluna</w:t>
            </w:r>
          </w:p>
        </w:tc>
        <w:tc>
          <w:tcPr>
            <w:tcW w:type="dxa" w:w="21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46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id</w:t>
            </w:r>
          </w:p>
        </w:tc>
        <w:tc>
          <w:tcPr>
            <w:tcW w:type="dxa" w:w="21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BIGSERIAL</w:t>
            </w:r>
          </w:p>
        </w:tc>
        <w:tc>
          <w:tcPr>
            <w:tcW w:type="dxa" w:w="46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Identificador único.</w:t>
            </w:r>
          </w:p>
        </w:tc>
      </w:tr>
      <w:tr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pedido_id</w:t>
            </w:r>
          </w:p>
        </w:tc>
        <w:tc>
          <w:tcPr>
            <w:tcW w:type="dxa" w:w="21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BIGINT (FK)</w:t>
            </w:r>
          </w:p>
        </w:tc>
        <w:tc>
          <w:tcPr>
            <w:tcW w:type="dxa" w:w="46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Pedido avaliado (1:1).</w:t>
            </w:r>
          </w:p>
        </w:tc>
      </w:tr>
      <w:tr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cliente_id</w:t>
            </w:r>
          </w:p>
        </w:tc>
        <w:tc>
          <w:tcPr>
            <w:tcW w:type="dxa" w:w="21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BIGINT (FK)</w:t>
            </w:r>
          </w:p>
        </w:tc>
        <w:tc>
          <w:tcPr>
            <w:tcW w:type="dxa" w:w="46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Cliente que avaliou.</w:t>
            </w:r>
          </w:p>
        </w:tc>
      </w:tr>
      <w:tr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prestador_id</w:t>
            </w:r>
          </w:p>
        </w:tc>
        <w:tc>
          <w:tcPr>
            <w:tcW w:type="dxa" w:w="21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BIGINT (FK)</w:t>
            </w:r>
          </w:p>
        </w:tc>
        <w:tc>
          <w:tcPr>
            <w:tcW w:type="dxa" w:w="46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Prestador avaliado.</w:t>
            </w:r>
          </w:p>
        </w:tc>
      </w:tr>
      <w:tr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nota</w:t>
            </w:r>
          </w:p>
        </w:tc>
        <w:tc>
          <w:tcPr>
            <w:tcW w:type="dxa" w:w="21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SMALLINT</w:t>
            </w:r>
          </w:p>
        </w:tc>
        <w:tc>
          <w:tcPr>
            <w:tcW w:type="dxa" w:w="46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Nota de 1 a 5.</w:t>
            </w:r>
          </w:p>
        </w:tc>
      </w:tr>
      <w:tr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comentario</w:t>
            </w:r>
          </w:p>
        </w:tc>
        <w:tc>
          <w:tcPr>
            <w:tcW w:type="dxa" w:w="21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TEXT</w:t>
            </w:r>
          </w:p>
        </w:tc>
        <w:tc>
          <w:tcPr>
            <w:tcW w:type="dxa" w:w="46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Comentário livre.</w:t>
            </w:r>
          </w:p>
        </w:tc>
      </w:tr>
      <w:tr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data</w:t>
            </w:r>
          </w:p>
        </w:tc>
        <w:tc>
          <w:tcPr>
            <w:tcW w:type="dxa" w:w="21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TIMESTAMP</w:t>
            </w:r>
          </w:p>
        </w:tc>
        <w:tc>
          <w:tcPr>
            <w:tcW w:type="dxa" w:w="46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Data da avaliação.</w:t>
            </w:r>
          </w:p>
        </w:tc>
      </w:tr>
    </w:tbl>
    <w:p>
      <w:r>
        <w:br w:type="page"/>
      </w:r>
    </w:p>
    <w:p>
      <w:pPr>
        <w:pStyle w:val="Heading1"/>
        <w:spacing w:after="200" w:before="320" w:line="360"/>
      </w:pPr>
      <w:r>
        <w:t xml:space="preserve">3 DATA WAREHOUSE (MODELO DIMENSIONAL)</w:t>
      </w:r>
    </w:p>
    <w:p>
      <w:pPr>
        <w:spacing w:after="120" w:before="0" w:line="360"/>
        <w:ind w:firstLine="709"/>
        <w:jc w:val="both"/>
      </w:pPr>
      <w:r>
        <w:t xml:space="preserve">O Data Warehouse (DW) é o ambiente analítico, modelado segundo a técnica dimensional de Ralph Kimball. Em vez de tabelas normalizadas, organiza-se em tabelas de dimensão (o contexto: quem, o quê, quando) e tabelas de fato (as métricas: quanto, quantos), formando um esquema estrela.</w:t>
      </w:r>
    </w:p>
    <w:p>
      <w:pPr>
        <w:pStyle w:val="Heading2"/>
        <w:spacing w:after="120" w:before="240" w:line="360"/>
      </w:pPr>
      <w:r>
        <w:t xml:space="preserve">3.1 Esquema Estrela</w:t>
      </w:r>
    </w:p>
    <w:p>
      <w:pPr>
        <w:spacing w:after="120" w:before="0" w:line="360"/>
        <w:ind w:firstLine="709"/>
        <w:jc w:val="both"/>
      </w:pPr>
      <w:r>
        <w:t xml:space="preserve">A Remio possui três tabelas de fato que compartilham dimensões comuns — uma configuração chamada constelação de fatos. As cinco dimensões (tempo, cliente, prestador, serviço e parceiro) são reaproveitadas pelos fatos, garantindo consistência analítica. O esquema é apresentado na página a seguir, em formato ampliado.</w:t>
      </w:r>
    </w:p>
    <w:p>
      <w:pPr>
        <w:sectPr>
          <w:headerReference w:type="default" r:id="rId9"/>
          <w:pgSz w:w="11906" w:h="16838" w:orient="portrait"/>
          <w:pgMar w:top="1701" w:right="1134" w:bottom="1134" w:left="1701" w:header="708" w:footer="708" w:gutter="0"/>
          <w:pgNumType/>
          <w:docGrid w:linePitch="360"/>
        </w:sectPr>
      </w:pPr>
    </w:p>
    <w:p>
      <w:pPr>
        <w:spacing w:after="40" w:before="160"/>
        <w:jc w:val="center"/>
      </w:pPr>
      <w:r>
        <w:rPr>
          <w:color w:val="1F2937"/>
          <w:sz w:val="20"/>
          <w:szCs w:val="20"/>
        </w:rPr>
        <w:t xml:space="preserve">Figura 3 — Esquema estrela do Data Warehouse (constelação de fatos).</w:t>
      </w:r>
    </w:p>
    <w:p>
      <w:pPr>
        <w:spacing w:after="40"/>
        <w:jc w:val="center"/>
      </w:pPr>
      <w:r>
        <w:drawing>
          <wp:inline distT="0" distB="0" distL="0" distR="0">
            <wp:extent cx="8572500" cy="3333750"/>
            <wp:effectExtent t="0" r="0" b="0" l="0"/>
            <wp:docPr id="1" name="3-estrela-dw.png" descr="Figura 3 — Esquema estrela do Data Warehouse (constelação de fatos)." title="Figura 3 — Esquema estrela do Data Warehouse (constelação de fatos)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color w:val="1F2937"/>
          <w:sz w:val="20"/>
          <w:szCs w:val="20"/>
        </w:rPr>
        <w:t xml:space="preserve">Fonte: elaborado pelos autores (2026).</w:t>
      </w:r>
    </w:p>
    <w:p>
      <w:pPr>
        <w:sectPr>
          <w:headerReference w:type="default" r:id="rId10"/>
          <w:pgSz w:w="16838" w:h="11906" w:orient="landscape"/>
          <w:pgMar w:top="1701" w:right="1134" w:bottom="1134" w:left="1701" w:header="708" w:footer="708" w:gutter="0"/>
          <w:pgNumType/>
          <w:docGrid w:linePitch="360"/>
        </w:sectPr>
      </w:pPr>
    </w:p>
    <w:p>
      <w:pPr>
        <w:spacing w:after="120" w:before="60" w:line="360"/>
        <w:ind w:firstLine="709"/>
        <w:jc w:val="both"/>
      </w:pPr>
      <w:r>
        <w:rPr>
          <w:b/>
          <w:bCs/>
        </w:rPr>
        <w:t xml:space="preserve">Convenção de chaves: </w:t>
      </w:r>
      <w:r>
        <w:t xml:space="preserve">cada dimensão tem uma chave substituta (surrogate key, prefixo sk_) gerada no próprio DW, além da chave natural (prefixo id_) herdada do OLTP. As chaves substitutas tornam as junções mais rápidas e permitem o versionamento histórico das dimensões.</w:t>
      </w:r>
    </w:p>
    <w:p>
      <w:pPr>
        <w:pStyle w:val="Heading2"/>
        <w:spacing w:after="120" w:before="240" w:line="360"/>
      </w:pPr>
      <w:r>
        <w:t xml:space="preserve">3.2 Dimensões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32"/>
        <w:gridCol w:w="5195"/>
        <w:gridCol w:w="1744"/>
      </w:tblGrid>
      <w:tr>
        <w:trPr>
          <w:tblHeader/>
        </w:trPr>
        <w:tc>
          <w:tcPr>
            <w:tcW w:type="dxa" w:w="21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Dimensão</w:t>
            </w:r>
          </w:p>
        </w:tc>
        <w:tc>
          <w:tcPr>
            <w:tcW w:type="dxa" w:w="519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Conteúdo</w:t>
            </w:r>
          </w:p>
        </w:tc>
        <w:tc>
          <w:tcPr>
            <w:tcW w:type="dxa" w:w="1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Tipo SCD</w:t>
            </w:r>
          </w:p>
        </w:tc>
      </w:tr>
      <w:tr>
        <w:tc>
          <w:tcPr>
            <w:tcW w:type="dxa" w:w="21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dim_tempo</w:t>
            </w:r>
          </w:p>
        </w:tc>
        <w:tc>
          <w:tcPr>
            <w:tcW w:type="dxa" w:w="519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Calendário com chave AAAAMMDD; dia, mês, ano, trimestre, dia da semana.</w:t>
            </w:r>
          </w:p>
        </w:tc>
        <w:tc>
          <w:tcPr>
            <w:tcW w:type="dxa" w:w="1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Carga única</w:t>
            </w:r>
          </w:p>
        </w:tc>
      </w:tr>
      <w:tr>
        <w:tc>
          <w:tcPr>
            <w:tcW w:type="dxa" w:w="21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dim_cliente</w:t>
            </w:r>
          </w:p>
        </w:tc>
        <w:tc>
          <w:tcPr>
            <w:tcW w:type="dxa" w:w="519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Dados do cliente (nome, cidade) com histórico de mudanças.</w:t>
            </w:r>
          </w:p>
        </w:tc>
        <w:tc>
          <w:tcPr>
            <w:tcW w:type="dxa" w:w="1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SCD Tipo 2</w:t>
            </w:r>
          </w:p>
        </w:tc>
      </w:tr>
      <w:tr>
        <w:tc>
          <w:tcPr>
            <w:tcW w:type="dxa" w:w="21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dim_prestador</w:t>
            </w:r>
          </w:p>
        </w:tc>
        <w:tc>
          <w:tcPr>
            <w:tcW w:type="dxa" w:w="519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Dados do prestador (plano, verificação, faixa de preço) com histórico.</w:t>
            </w:r>
          </w:p>
        </w:tc>
        <w:tc>
          <w:tcPr>
            <w:tcW w:type="dxa" w:w="1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SCD Tipo 2</w:t>
            </w:r>
          </w:p>
        </w:tc>
      </w:tr>
      <w:tr>
        <w:tc>
          <w:tcPr>
            <w:tcW w:type="dxa" w:w="21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dim_servico</w:t>
            </w:r>
          </w:p>
        </w:tc>
        <w:tc>
          <w:tcPr>
            <w:tcW w:type="dxa" w:w="519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Categoria do serviço.</w:t>
            </w:r>
          </w:p>
        </w:tc>
        <w:tc>
          <w:tcPr>
            <w:tcW w:type="dxa" w:w="1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SCD Tipo 1</w:t>
            </w:r>
          </w:p>
        </w:tc>
      </w:tr>
      <w:tr>
        <w:tc>
          <w:tcPr>
            <w:tcW w:type="dxa" w:w="21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dim_parceiro</w:t>
            </w:r>
          </w:p>
        </w:tc>
        <w:tc>
          <w:tcPr>
            <w:tcW w:type="dxa" w:w="519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Empresa parceira (razão social, segmento, cidade).</w:t>
            </w:r>
          </w:p>
        </w:tc>
        <w:tc>
          <w:tcPr>
            <w:tcW w:type="dxa" w:w="1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SCD Tipo 1</w:t>
            </w:r>
          </w:p>
        </w:tc>
      </w:tr>
    </w:tbl>
    <w:p>
      <w:pPr>
        <w:spacing w:after="120" w:before="80" w:line="360"/>
        <w:ind w:firstLine="709"/>
        <w:jc w:val="both"/>
      </w:pPr>
      <w:r>
        <w:rPr>
          <w:b/>
          <w:bCs/>
        </w:rPr>
        <w:t xml:space="preserve">SCD (Slowly Changing Dimension): </w:t>
      </w:r>
      <w:r>
        <w:t xml:space="preserve">estratégia para lidar com mudanças nos dados de uma dimensão. No Tipo 1, o valor é simplesmente sobrescrito; no Tipo 2, cria-se uma nova versão da linha (com datas de início e fim e um indicador de versão corrente), preservando o histórico — essencial, por exemplo, para saber qual era o plano do prestador na época de cada serviço.</w:t>
      </w:r>
    </w:p>
    <w:p>
      <w:pPr>
        <w:pStyle w:val="Heading2"/>
        <w:spacing w:after="120" w:before="240" w:line="360"/>
      </w:pPr>
      <w:r>
        <w:t xml:space="preserve">3.3 Tabelas de Fato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2907"/>
        <w:gridCol w:w="3644"/>
      </w:tblGrid>
      <w:tr>
        <w:trPr>
          <w:tblHeader/>
        </w:trP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Fato</w:t>
            </w:r>
          </w:p>
        </w:tc>
        <w:tc>
          <w:tcPr>
            <w:tcW w:type="dxa" w:w="29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Grão (1 linha por...)</w:t>
            </w:r>
          </w:p>
        </w:tc>
        <w:tc>
          <w:tcPr>
            <w:tcW w:type="dxa" w:w="36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Principais medidas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fato_servico</w:t>
            </w:r>
          </w:p>
        </w:tc>
        <w:tc>
          <w:tcPr>
            <w:tcW w:type="dxa" w:w="29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serviço concluído (pedido)</w:t>
            </w:r>
          </w:p>
        </w:tc>
        <w:tc>
          <w:tcPr>
            <w:tcW w:type="dxa" w:w="36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valor_servico, valor_comissao, valor_prestador, qtd, nota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fato_avaliacao</w:t>
            </w:r>
          </w:p>
        </w:tc>
        <w:tc>
          <w:tcPr>
            <w:tcW w:type="dxa" w:w="29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avaliação registrada</w:t>
            </w:r>
          </w:p>
        </w:tc>
        <w:tc>
          <w:tcPr>
            <w:tcW w:type="dxa" w:w="36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nota, qtd_avaliacao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fato_indicacao_parceiro</w:t>
            </w:r>
          </w:p>
        </w:tc>
        <w:tc>
          <w:tcPr>
            <w:tcW w:type="dxa" w:w="29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indicação de parceiro</w:t>
            </w:r>
          </w:p>
        </w:tc>
        <w:tc>
          <w:tcPr>
            <w:tcW w:type="dxa" w:w="36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qtd_indicacao, qtd_contato, qtd_venda, valor_venda</w:t>
            </w:r>
          </w:p>
        </w:tc>
      </w:tr>
    </w:tbl>
    <w:p>
      <w:pPr>
        <w:spacing w:after="60" w:before="60"/>
      </w:pPr>
      <w:r>
        <w:rPr>
          <w:rFonts w:ascii="Consolas" w:cs="Consolas" w:eastAsia="Consolas" w:hAnsi="Consolas"/>
          <w:b/>
          <w:bCs/>
          <w:color w:val="1F2937"/>
          <w:sz w:val="19"/>
          <w:szCs w:val="19"/>
        </w:rPr>
        <w:t xml:space="preserve">fato_servico (principal)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26"/>
        <w:gridCol w:w="2132"/>
        <w:gridCol w:w="4613"/>
      </w:tblGrid>
      <w:tr>
        <w:trPr>
          <w:tblHeader/>
        </w:trPr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Coluna</w:t>
            </w:r>
          </w:p>
        </w:tc>
        <w:tc>
          <w:tcPr>
            <w:tcW w:type="dxa" w:w="21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46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sk_fato_servico</w:t>
            </w:r>
          </w:p>
        </w:tc>
        <w:tc>
          <w:tcPr>
            <w:tcW w:type="dxa" w:w="21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BIGSERIAL</w:t>
            </w:r>
          </w:p>
        </w:tc>
        <w:tc>
          <w:tcPr>
            <w:tcW w:type="dxa" w:w="46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Chave primária do fato.</w:t>
            </w:r>
          </w:p>
        </w:tc>
      </w:tr>
      <w:tr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sk_tempo</w:t>
            </w:r>
          </w:p>
        </w:tc>
        <w:tc>
          <w:tcPr>
            <w:tcW w:type="dxa" w:w="21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INTEGER (FK)</w:t>
            </w:r>
          </w:p>
        </w:tc>
        <w:tc>
          <w:tcPr>
            <w:tcW w:type="dxa" w:w="46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Quando o serviço foi concluído.</w:t>
            </w:r>
          </w:p>
        </w:tc>
      </w:tr>
      <w:tr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sk_cliente</w:t>
            </w:r>
          </w:p>
        </w:tc>
        <w:tc>
          <w:tcPr>
            <w:tcW w:type="dxa" w:w="21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BIGINT (FK)</w:t>
            </w:r>
          </w:p>
        </w:tc>
        <w:tc>
          <w:tcPr>
            <w:tcW w:type="dxa" w:w="46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Quem contratou.</w:t>
            </w:r>
          </w:p>
        </w:tc>
      </w:tr>
      <w:tr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sk_prestador</w:t>
            </w:r>
          </w:p>
        </w:tc>
        <w:tc>
          <w:tcPr>
            <w:tcW w:type="dxa" w:w="21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BIGINT (FK)</w:t>
            </w:r>
          </w:p>
        </w:tc>
        <w:tc>
          <w:tcPr>
            <w:tcW w:type="dxa" w:w="46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Quem executou.</w:t>
            </w:r>
          </w:p>
        </w:tc>
      </w:tr>
      <w:tr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sk_servico</w:t>
            </w:r>
          </w:p>
        </w:tc>
        <w:tc>
          <w:tcPr>
            <w:tcW w:type="dxa" w:w="21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INTEGER (FK)</w:t>
            </w:r>
          </w:p>
        </w:tc>
        <w:tc>
          <w:tcPr>
            <w:tcW w:type="dxa" w:w="46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Categoria do serviço.</w:t>
            </w:r>
          </w:p>
        </w:tc>
      </w:tr>
      <w:tr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id_pedido</w:t>
            </w:r>
          </w:p>
        </w:tc>
        <w:tc>
          <w:tcPr>
            <w:tcW w:type="dxa" w:w="21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BIGINT</w:t>
            </w:r>
          </w:p>
        </w:tc>
        <w:tc>
          <w:tcPr>
            <w:tcW w:type="dxa" w:w="46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Chave degenerada (rastreio ao pedido de origem).</w:t>
            </w:r>
          </w:p>
        </w:tc>
      </w:tr>
      <w:tr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valor_servico</w:t>
            </w:r>
          </w:p>
        </w:tc>
        <w:tc>
          <w:tcPr>
            <w:tcW w:type="dxa" w:w="21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NUMERIC(10,2)</w:t>
            </w:r>
          </w:p>
        </w:tc>
        <w:tc>
          <w:tcPr>
            <w:tcW w:type="dxa" w:w="46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Valor total do serviço.</w:t>
            </w:r>
          </w:p>
        </w:tc>
      </w:tr>
      <w:tr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valor_comissao</w:t>
            </w:r>
          </w:p>
        </w:tc>
        <w:tc>
          <w:tcPr>
            <w:tcW w:type="dxa" w:w="21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NUMERIC(10,2)</w:t>
            </w:r>
          </w:p>
        </w:tc>
        <w:tc>
          <w:tcPr>
            <w:tcW w:type="dxa" w:w="46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Comissão da plataforma.</w:t>
            </w:r>
          </w:p>
        </w:tc>
      </w:tr>
      <w:tr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valor_prestador</w:t>
            </w:r>
          </w:p>
        </w:tc>
        <w:tc>
          <w:tcPr>
            <w:tcW w:type="dxa" w:w="21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NUMERIC(10,2)</w:t>
            </w:r>
          </w:p>
        </w:tc>
        <w:tc>
          <w:tcPr>
            <w:tcW w:type="dxa" w:w="46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Valor recebido pelo prestador.</w:t>
            </w:r>
          </w:p>
        </w:tc>
      </w:tr>
      <w:tr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nota_avaliacao</w:t>
            </w:r>
          </w:p>
        </w:tc>
        <w:tc>
          <w:tcPr>
            <w:tcW w:type="dxa" w:w="21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SMALLINT</w:t>
            </w:r>
          </w:p>
        </w:tc>
        <w:tc>
          <w:tcPr>
            <w:tcW w:type="dxa" w:w="46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Nota recebida (se avaliado).</w:t>
            </w:r>
          </w:p>
        </w:tc>
      </w:tr>
    </w:tbl>
    <w:p>
      <w:r>
        <w:br w:type="page"/>
      </w:r>
    </w:p>
    <w:p>
      <w:pPr>
        <w:pStyle w:val="Heading1"/>
        <w:spacing w:after="200" w:before="320" w:line="360"/>
      </w:pPr>
      <w:r>
        <w:t xml:space="preserve">4 PROCESSO DE ETL NO PENTAHO (PDI)</w:t>
      </w:r>
    </w:p>
    <w:p>
      <w:pPr>
        <w:spacing w:after="120" w:before="0" w:line="360"/>
        <w:ind w:firstLine="709"/>
        <w:jc w:val="both"/>
      </w:pPr>
      <w:r>
        <w:t xml:space="preserve">O ETL (Extract, Transform, Load) é o processo que move e adapta os dados do OLTP para o DW. Foi projetado no Pentaho Data Integration (PDI, também conhecido como Kettle), que organiza o trabalho em dois tipos de artefato: transformations (.ktr), que manipulam os dados linha a linha, e jobs (.kjb), que orquestram a ordem de execução das transformations.</w:t>
      </w:r>
    </w:p>
    <w:p>
      <w:pPr>
        <w:pStyle w:val="Heading2"/>
        <w:spacing w:after="120" w:before="240" w:line="360"/>
      </w:pPr>
      <w:r>
        <w:t xml:space="preserve">4.1 Job Principal de Carga</w:t>
      </w:r>
    </w:p>
    <w:p>
      <w:pPr>
        <w:spacing w:after="120" w:before="0" w:line="360"/>
        <w:ind w:firstLine="709"/>
        <w:jc w:val="both"/>
      </w:pPr>
      <w:r>
        <w:t xml:space="preserve">O job job_carga_dw.kjb coordena toda a carga. A ordem respeita a dependência referencial: primeiro carregam-se as dimensões, depois os fatos — pois os fatos precisam das chaves substitutas (sk_) já existentes nas dimensões para fazer seus lookups.</w:t>
      </w:r>
    </w:p>
    <w:p>
      <w:pPr>
        <w:spacing w:after="40" w:before="160"/>
        <w:jc w:val="center"/>
      </w:pPr>
      <w:r>
        <w:rPr>
          <w:color w:val="1F2937"/>
          <w:sz w:val="20"/>
          <w:szCs w:val="20"/>
        </w:rPr>
        <w:t xml:space="preserve">Figura 4 — Job principal: carga das dimensões seguida da carga dos fatos.</w:t>
      </w:r>
    </w:p>
    <w:p>
      <w:pPr>
        <w:spacing w:after="40"/>
        <w:jc w:val="center"/>
      </w:pPr>
      <w:r>
        <w:drawing>
          <wp:inline distT="0" distB="0" distL="0" distR="0">
            <wp:extent cx="5943600" cy="781050"/>
            <wp:effectExtent t="0" r="0" b="0" l="0"/>
            <wp:docPr id="1" name="4a-etl-job.png" descr="Figura 4 — Job principal: carga das dimensões seguida da carga dos fatos." title="Figura 4 — Job principal: carga das dimensões seguida da carga dos fa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8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color w:val="1F2937"/>
          <w:sz w:val="20"/>
          <w:szCs w:val="20"/>
        </w:rPr>
        <w:t xml:space="preserve">Fonte: elaborado pelos autores (2026).</w:t>
      </w:r>
    </w:p>
    <w:p>
      <w:pPr>
        <w:pStyle w:val="Heading2"/>
        <w:spacing w:after="120" w:before="240" w:line="360"/>
      </w:pPr>
      <w:r>
        <w:t xml:space="preserve">4.2 Anatomia de uma Transformation</w:t>
      </w:r>
    </w:p>
    <w:p>
      <w:pPr>
        <w:spacing w:after="120" w:before="0" w:line="360"/>
        <w:ind w:firstLine="709"/>
        <w:jc w:val="both"/>
      </w:pPr>
      <w:r>
        <w:t xml:space="preserve">Cada transformation é uma sequência de steps (passos) ligados por hops (setas) por onde fluem as linhas. O exemplo abaixo detalha a tr_fato_servico, que carrega a tabela de fato principal.</w:t>
      </w:r>
    </w:p>
    <w:p>
      <w:pPr>
        <w:spacing w:after="40" w:before="160"/>
        <w:jc w:val="center"/>
      </w:pPr>
      <w:r>
        <w:rPr>
          <w:color w:val="1F2937"/>
          <w:sz w:val="20"/>
          <w:szCs w:val="20"/>
        </w:rPr>
        <w:t xml:space="preserve">Figura 5 — Steps da transformation tr_fato_servico, do OLTP ao fato.</w:t>
      </w:r>
    </w:p>
    <w:p>
      <w:pPr>
        <w:spacing w:after="40"/>
        <w:jc w:val="center"/>
      </w:pPr>
      <w:r>
        <w:drawing>
          <wp:inline distT="0" distB="0" distL="0" distR="0">
            <wp:extent cx="5943600" cy="1047750"/>
            <wp:effectExtent t="0" r="0" b="0" l="0"/>
            <wp:docPr id="1" name="4b-etl-trans.png" descr="Figura 5 — Steps da transformation tr_fato_servico, do OLTP ao fato." title="Figura 5 — Steps da transformation tr_fato_servico, do OLTP ao fa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color w:val="1F2937"/>
          <w:sz w:val="20"/>
          <w:szCs w:val="20"/>
        </w:rPr>
        <w:t xml:space="preserve">Fonte: elaborado pelos autores (2026).</w:t>
      </w:r>
    </w:p>
    <w:p>
      <w:pPr>
        <w:spacing w:after="120" w:before="60" w:line="360"/>
        <w:ind w:firstLine="709"/>
        <w:jc w:val="both"/>
      </w:pPr>
      <w:r>
        <w:t xml:space="preserve">Os steps dessa transformation: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6551"/>
      </w:tblGrid>
      <w:tr>
        <w:trPr>
          <w:tblHeader/>
        </w:trP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Step (PDI)</w:t>
            </w:r>
          </w:p>
        </w:tc>
        <w:tc>
          <w:tcPr>
            <w:tcW w:type="dxa" w:w="655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Função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Table Input</w:t>
            </w:r>
          </w:p>
        </w:tc>
        <w:tc>
          <w:tcPr>
            <w:tcW w:type="dxa" w:w="655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Lê do OLTP os pedidos concluídos, unindo pedido, pagamento e avaliacao via SQL.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Lookup dim_tempo</w:t>
            </w:r>
          </w:p>
        </w:tc>
        <w:tc>
          <w:tcPr>
            <w:tcW w:type="dxa" w:w="655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Converte a data de conclusão na chave sk_tempo (formato AAAAMMDD).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Lookup dim_cliente</w:t>
            </w:r>
          </w:p>
        </w:tc>
        <w:tc>
          <w:tcPr>
            <w:tcW w:type="dxa" w:w="655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Busca a sk_cliente vigente a partir do id natural do cliente.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Lookup dim_prestador</w:t>
            </w:r>
          </w:p>
        </w:tc>
        <w:tc>
          <w:tcPr>
            <w:tcW w:type="dxa" w:w="655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Busca a sk_prestador vigente a partir do id natural do prestador.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Lookup dim_servico</w:t>
            </w:r>
          </w:p>
        </w:tc>
        <w:tc>
          <w:tcPr>
            <w:tcW w:type="dxa" w:w="655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Busca a sk_servico a partir da categoria.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Select Values</w:t>
            </w:r>
          </w:p>
        </w:tc>
        <w:tc>
          <w:tcPr>
            <w:tcW w:type="dxa" w:w="655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Seleciona e ordena as colunas finais (chaves + medidas).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Table Output</w:t>
            </w:r>
          </w:p>
        </w:tc>
        <w:tc>
          <w:tcPr>
            <w:tcW w:type="dxa" w:w="655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Insere as linhas resultantes na tabela fato_servico do DW.</w:t>
            </w:r>
          </w:p>
        </w:tc>
      </w:tr>
    </w:tbl>
    <w:p>
      <w:pPr>
        <w:pStyle w:val="Heading2"/>
        <w:spacing w:after="120" w:before="240" w:line="360"/>
      </w:pPr>
      <w:r>
        <w:t xml:space="preserve">4.3 Transformations e Estratégia de Carga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23"/>
        <w:gridCol w:w="3004"/>
        <w:gridCol w:w="2287"/>
        <w:gridCol w:w="1357"/>
      </w:tblGrid>
      <w:tr>
        <w:trPr>
          <w:tblHeader/>
        </w:trPr>
        <w:tc>
          <w:tcPr>
            <w:tcW w:type="dxa" w:w="24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Transformation</w:t>
            </w:r>
          </w:p>
        </w:tc>
        <w:tc>
          <w:tcPr>
            <w:tcW w:type="dxa" w:w="30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Origem (OLTP)</w:t>
            </w:r>
          </w:p>
        </w:tc>
        <w:tc>
          <w:tcPr>
            <w:tcW w:type="dxa" w:w="22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Destino (DW)</w:t>
            </w:r>
          </w:p>
        </w:tc>
        <w:tc>
          <w:tcPr>
            <w:tcW w:type="dxa" w:w="13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Carga</w:t>
            </w:r>
          </w:p>
        </w:tc>
      </w:tr>
      <w:tr>
        <w:tc>
          <w:tcPr>
            <w:tcW w:type="dxa" w:w="24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tr_dim_tempo</w:t>
            </w:r>
          </w:p>
        </w:tc>
        <w:tc>
          <w:tcPr>
            <w:tcW w:type="dxa" w:w="30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Geração por intervalo</w:t>
            </w:r>
          </w:p>
        </w:tc>
        <w:tc>
          <w:tcPr>
            <w:tcW w:type="dxa" w:w="22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dim_tempo</w:t>
            </w:r>
          </w:p>
        </w:tc>
        <w:tc>
          <w:tcPr>
            <w:tcW w:type="dxa" w:w="13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Única</w:t>
            </w:r>
          </w:p>
        </w:tc>
      </w:tr>
      <w:tr>
        <w:tc>
          <w:tcPr>
            <w:tcW w:type="dxa" w:w="24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tr_dim_cliente</w:t>
            </w:r>
          </w:p>
        </w:tc>
        <w:tc>
          <w:tcPr>
            <w:tcW w:type="dxa" w:w="30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usuario (cliente)</w:t>
            </w:r>
          </w:p>
        </w:tc>
        <w:tc>
          <w:tcPr>
            <w:tcW w:type="dxa" w:w="22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dim_cliente</w:t>
            </w:r>
          </w:p>
        </w:tc>
        <w:tc>
          <w:tcPr>
            <w:tcW w:type="dxa" w:w="13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SCD2</w:t>
            </w:r>
          </w:p>
        </w:tc>
      </w:tr>
      <w:tr>
        <w:tc>
          <w:tcPr>
            <w:tcW w:type="dxa" w:w="24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tr_dim_prestador</w:t>
            </w:r>
          </w:p>
        </w:tc>
        <w:tc>
          <w:tcPr>
            <w:tcW w:type="dxa" w:w="30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prestador + usuario</w:t>
            </w:r>
          </w:p>
        </w:tc>
        <w:tc>
          <w:tcPr>
            <w:tcW w:type="dxa" w:w="22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dim_prestador</w:t>
            </w:r>
          </w:p>
        </w:tc>
        <w:tc>
          <w:tcPr>
            <w:tcW w:type="dxa" w:w="13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SCD2</w:t>
            </w:r>
          </w:p>
        </w:tc>
      </w:tr>
      <w:tr>
        <w:tc>
          <w:tcPr>
            <w:tcW w:type="dxa" w:w="24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tr_dim_servico</w:t>
            </w:r>
          </w:p>
        </w:tc>
        <w:tc>
          <w:tcPr>
            <w:tcW w:type="dxa" w:w="30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categoria_servico</w:t>
            </w:r>
          </w:p>
        </w:tc>
        <w:tc>
          <w:tcPr>
            <w:tcW w:type="dxa" w:w="22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dim_servico</w:t>
            </w:r>
          </w:p>
        </w:tc>
        <w:tc>
          <w:tcPr>
            <w:tcW w:type="dxa" w:w="13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SCD1</w:t>
            </w:r>
          </w:p>
        </w:tc>
      </w:tr>
      <w:tr>
        <w:tc>
          <w:tcPr>
            <w:tcW w:type="dxa" w:w="24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tr_dim_parceiro</w:t>
            </w:r>
          </w:p>
        </w:tc>
        <w:tc>
          <w:tcPr>
            <w:tcW w:type="dxa" w:w="30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parceiro + usuario</w:t>
            </w:r>
          </w:p>
        </w:tc>
        <w:tc>
          <w:tcPr>
            <w:tcW w:type="dxa" w:w="22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dim_parceiro</w:t>
            </w:r>
          </w:p>
        </w:tc>
        <w:tc>
          <w:tcPr>
            <w:tcW w:type="dxa" w:w="13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SCD1</w:t>
            </w:r>
          </w:p>
        </w:tc>
      </w:tr>
      <w:tr>
        <w:tc>
          <w:tcPr>
            <w:tcW w:type="dxa" w:w="24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tr_fato_servico</w:t>
            </w:r>
          </w:p>
        </w:tc>
        <w:tc>
          <w:tcPr>
            <w:tcW w:type="dxa" w:w="30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pedido + pagamento + avaliacao</w:t>
            </w:r>
          </w:p>
        </w:tc>
        <w:tc>
          <w:tcPr>
            <w:tcW w:type="dxa" w:w="22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fato_servico</w:t>
            </w:r>
          </w:p>
        </w:tc>
        <w:tc>
          <w:tcPr>
            <w:tcW w:type="dxa" w:w="13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Incremental</w:t>
            </w:r>
          </w:p>
        </w:tc>
      </w:tr>
      <w:tr>
        <w:tc>
          <w:tcPr>
            <w:tcW w:type="dxa" w:w="24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tr_fato_avaliacao</w:t>
            </w:r>
          </w:p>
        </w:tc>
        <w:tc>
          <w:tcPr>
            <w:tcW w:type="dxa" w:w="30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avaliacao</w:t>
            </w:r>
          </w:p>
        </w:tc>
        <w:tc>
          <w:tcPr>
            <w:tcW w:type="dxa" w:w="22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fato_avaliacao</w:t>
            </w:r>
          </w:p>
        </w:tc>
        <w:tc>
          <w:tcPr>
            <w:tcW w:type="dxa" w:w="13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Incremental</w:t>
            </w:r>
          </w:p>
        </w:tc>
      </w:tr>
      <w:tr>
        <w:tc>
          <w:tcPr>
            <w:tcW w:type="dxa" w:w="24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tr_fato_indicacao</w:t>
            </w:r>
          </w:p>
        </w:tc>
        <w:tc>
          <w:tcPr>
            <w:tcW w:type="dxa" w:w="30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parceiro_indicacao</w:t>
            </w:r>
          </w:p>
        </w:tc>
        <w:tc>
          <w:tcPr>
            <w:tcW w:type="dxa" w:w="22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fato_indicacao_parceiro</w:t>
            </w:r>
          </w:p>
        </w:tc>
        <w:tc>
          <w:tcPr>
            <w:tcW w:type="dxa" w:w="13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Incremental</w:t>
            </w:r>
          </w:p>
        </w:tc>
      </w:tr>
    </w:tbl>
    <w:p>
      <w:pPr>
        <w:spacing w:after="120" w:before="80" w:line="360"/>
        <w:ind w:firstLine="709"/>
        <w:jc w:val="both"/>
      </w:pPr>
      <w:r>
        <w:rPr>
          <w:b/>
          <w:bCs/>
        </w:rPr>
        <w:t xml:space="preserve">Carga incremental: </w:t>
      </w:r>
      <w:r>
        <w:t xml:space="preserve">para não reprocessar toda a base a cada execução, os fatos são carregados apenas com os registros novos desde a última carga. Guarda-se a data/hora da última execução bem-sucedida em uma tabela de controle; a Table Input filtra por data_conclusao maior que esse marco. Isso torna a carga rápida e adequada a uma execução diária ou de hora em hora.</w:t>
      </w:r>
    </w:p>
    <w:p>
      <w:pPr>
        <w:spacing w:after="120" w:before="0" w:line="360"/>
        <w:ind w:firstLine="709"/>
        <w:jc w:val="both"/>
      </w:pPr>
      <w:r>
        <w:rPr>
          <w:b/>
          <w:bCs/>
        </w:rPr>
        <w:t xml:space="preserve">Dimensões SCD2 no Pentaho: </w:t>
      </w:r>
      <w:r>
        <w:t xml:space="preserve">o step nativo Dimension Lookup/Update do PDI cuida automaticamente do versionamento — ele detecta mudanças, encerra a versão anterior (preenchendo dt_fim e marcando corrente = false) e cria a nova versão vigente, sem necessidade de código manual.</w:t>
      </w:r>
    </w:p>
    <w:p>
      <w:r>
        <w:br w:type="page"/>
      </w:r>
    </w:p>
    <w:p>
      <w:pPr>
        <w:pStyle w:val="Heading1"/>
        <w:spacing w:after="200" w:before="320" w:line="360"/>
      </w:pPr>
      <w:r>
        <w:t xml:space="preserve">5 DO DADO AO INDICADOR — MAPEAMENTO PARA OS DASHBOARDS</w:t>
      </w:r>
    </w:p>
    <w:p>
      <w:pPr>
        <w:spacing w:after="120" w:before="0" w:line="360"/>
        <w:ind w:firstLine="709"/>
        <w:jc w:val="both"/>
      </w:pPr>
      <w:r>
        <w:t xml:space="preserve">A tabela a seguir fecha o ciclo, mostrando como cada indicador exibido nos dashboards do protótipo é obtido a partir do Data Warehouse. Isso evidencia que a modelagem foi desenhada de trás para frente: a partir das perguntas de negócio que os painéis respondem.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4"/>
        <w:gridCol w:w="2326"/>
        <w:gridCol w:w="2229"/>
        <w:gridCol w:w="1512"/>
      </w:tblGrid>
      <w:tr>
        <w:trPr>
          <w:tblHeader/>
        </w:trPr>
        <w:tc>
          <w:tcPr>
            <w:tcW w:type="dxa" w:w="30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Dashboard / Indicador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Fato</w:t>
            </w:r>
          </w:p>
        </w:tc>
        <w:tc>
          <w:tcPr>
            <w:tcW w:type="dxa" w:w="222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Dimensões</w:t>
            </w:r>
          </w:p>
        </w:tc>
        <w:tc>
          <w:tcPr>
            <w:tcW w:type="dxa" w:w="15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Cálculo</w:t>
            </w:r>
          </w:p>
        </w:tc>
      </w:tr>
      <w:tr>
        <w:tc>
          <w:tcPr>
            <w:tcW w:type="dxa" w:w="30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Cliente — Gastos por mês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fato_servico</w:t>
            </w:r>
          </w:p>
        </w:tc>
        <w:tc>
          <w:tcPr>
            <w:tcW w:type="dxa" w:w="222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dim_tempo, dim_cliente</w:t>
            </w:r>
          </w:p>
        </w:tc>
        <w:tc>
          <w:tcPr>
            <w:tcW w:type="dxa" w:w="15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SUM(valor_servico)</w:t>
            </w:r>
          </w:p>
        </w:tc>
      </w:tr>
      <w:tr>
        <w:tc>
          <w:tcPr>
            <w:tcW w:type="dxa" w:w="30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Cliente — Contratações por categoria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fato_servico</w:t>
            </w:r>
          </w:p>
        </w:tc>
        <w:tc>
          <w:tcPr>
            <w:tcW w:type="dxa" w:w="222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dim_servico, dim_cliente</w:t>
            </w:r>
          </w:p>
        </w:tc>
        <w:tc>
          <w:tcPr>
            <w:tcW w:type="dxa" w:w="15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COUNT(*)</w:t>
            </w:r>
          </w:p>
        </w:tc>
      </w:tr>
      <w:tr>
        <w:tc>
          <w:tcPr>
            <w:tcW w:type="dxa" w:w="30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Prestador — Faturamento mensal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fato_servico</w:t>
            </w:r>
          </w:p>
        </w:tc>
        <w:tc>
          <w:tcPr>
            <w:tcW w:type="dxa" w:w="222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dim_tempo, dim_prestador</w:t>
            </w:r>
          </w:p>
        </w:tc>
        <w:tc>
          <w:tcPr>
            <w:tcW w:type="dxa" w:w="15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SUM(valor_prestador)</w:t>
            </w:r>
          </w:p>
        </w:tc>
      </w:tr>
      <w:tr>
        <w:tc>
          <w:tcPr>
            <w:tcW w:type="dxa" w:w="30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Prestador — Demanda por serviço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fato_servico</w:t>
            </w:r>
          </w:p>
        </w:tc>
        <w:tc>
          <w:tcPr>
            <w:tcW w:type="dxa" w:w="222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dim_servico, dim_prestador</w:t>
            </w:r>
          </w:p>
        </w:tc>
        <w:tc>
          <w:tcPr>
            <w:tcW w:type="dxa" w:w="15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COUNT(*)</w:t>
            </w:r>
          </w:p>
        </w:tc>
      </w:tr>
      <w:tr>
        <w:tc>
          <w:tcPr>
            <w:tcW w:type="dxa" w:w="30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Prestador — Nota média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fato_avaliacao</w:t>
            </w:r>
          </w:p>
        </w:tc>
        <w:tc>
          <w:tcPr>
            <w:tcW w:type="dxa" w:w="222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dim_prestador</w:t>
            </w:r>
          </w:p>
        </w:tc>
        <w:tc>
          <w:tcPr>
            <w:tcW w:type="dxa" w:w="15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AVG(nota)</w:t>
            </w:r>
          </w:p>
        </w:tc>
      </w:tr>
      <w:tr>
        <w:tc>
          <w:tcPr>
            <w:tcW w:type="dxa" w:w="30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Prestador — Preço vs. média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fato_servico</w:t>
            </w:r>
          </w:p>
        </w:tc>
        <w:tc>
          <w:tcPr>
            <w:tcW w:type="dxa" w:w="222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dim_servico, dim_prestador</w:t>
            </w:r>
          </w:p>
        </w:tc>
        <w:tc>
          <w:tcPr>
            <w:tcW w:type="dxa" w:w="15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AVG(valor_servico)</w:t>
            </w:r>
          </w:p>
        </w:tc>
      </w:tr>
      <w:tr>
        <w:tc>
          <w:tcPr>
            <w:tcW w:type="dxa" w:w="30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Parceiro — Funil indicação→venda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fato_indicacao_parceiro</w:t>
            </w:r>
          </w:p>
        </w:tc>
        <w:tc>
          <w:tcPr>
            <w:tcW w:type="dxa" w:w="222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dim_tempo, dim_parceiro</w:t>
            </w:r>
          </w:p>
        </w:tc>
        <w:tc>
          <w:tcPr>
            <w:tcW w:type="dxa" w:w="15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SUM(qtd_indicacao/contato/venda)</w:t>
            </w:r>
          </w:p>
        </w:tc>
      </w:tr>
    </w:tbl>
    <w:p>
      <w:pPr>
        <w:spacing w:after="120" w:before="80" w:line="360"/>
        <w:ind w:firstLine="709"/>
        <w:jc w:val="both"/>
      </w:pPr>
      <w:r>
        <w:t xml:space="preserve">Um exemplo concreto da consulta que alimenta o faturamento mensal do prestador: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1"/>
      </w:tblGrid>
      <w:tr>
        <w:tc>
          <w:tcPr>
            <w:tcW w:type="dxa" w:w="907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6"/>
            </w:pPr>
            <w:r>
              <w:rPr>
                <w:rFonts w:ascii="Consolas" w:cs="Consolas" w:eastAsia="Consolas" w:hAnsi="Consolas"/>
                <w:color w:val="E8E8E8"/>
                <w:sz w:val="17"/>
                <w:szCs w:val="17"/>
              </w:rPr>
              <w:t xml:space="preserve">SELECT t.ano, t.mes, t.nome_mes,</w:t>
            </w:r>
          </w:p>
          <w:p>
            <w:pPr>
              <w:spacing w:after="0" w:line="246"/>
            </w:pPr>
            <w:r>
              <w:rPr>
                <w:rFonts w:ascii="Consolas" w:cs="Consolas" w:eastAsia="Consolas" w:hAnsi="Consolas"/>
                <w:color w:val="E8E8E8"/>
                <w:sz w:val="17"/>
                <w:szCs w:val="17"/>
              </w:rPr>
              <w:t xml:space="preserve">       SUM(f.valor_prestador) AS faturamento</w:t>
            </w:r>
          </w:p>
          <w:p>
            <w:pPr>
              <w:spacing w:after="0" w:line="246"/>
            </w:pPr>
            <w:r>
              <w:rPr>
                <w:rFonts w:ascii="Consolas" w:cs="Consolas" w:eastAsia="Consolas" w:hAnsi="Consolas"/>
                <w:color w:val="E8E8E8"/>
                <w:sz w:val="17"/>
                <w:szCs w:val="17"/>
              </w:rPr>
              <w:t xml:space="preserve">FROM   fato_servico  f</w:t>
            </w:r>
          </w:p>
          <w:p>
            <w:pPr>
              <w:spacing w:after="0" w:line="246"/>
            </w:pPr>
            <w:r>
              <w:rPr>
                <w:rFonts w:ascii="Consolas" w:cs="Consolas" w:eastAsia="Consolas" w:hAnsi="Consolas"/>
                <w:color w:val="E8E8E8"/>
                <w:sz w:val="17"/>
                <w:szCs w:val="17"/>
              </w:rPr>
              <w:t xml:space="preserve">JOIN   dim_tempo     t ON t.sk_tempo     = f.sk_tempo</w:t>
            </w:r>
          </w:p>
          <w:p>
            <w:pPr>
              <w:spacing w:after="0" w:line="246"/>
            </w:pPr>
            <w:r>
              <w:rPr>
                <w:rFonts w:ascii="Consolas" w:cs="Consolas" w:eastAsia="Consolas" w:hAnsi="Consolas"/>
                <w:color w:val="E8E8E8"/>
                <w:sz w:val="17"/>
                <w:szCs w:val="17"/>
              </w:rPr>
              <w:t xml:space="preserve">JOIN   dim_prestador p ON p.sk_prestador = f.sk_prestador</w:t>
            </w:r>
          </w:p>
          <w:p>
            <w:pPr>
              <w:spacing w:after="0" w:line="246"/>
            </w:pPr>
            <w:r>
              <w:rPr>
                <w:rFonts w:ascii="Consolas" w:cs="Consolas" w:eastAsia="Consolas" w:hAnsi="Consolas"/>
                <w:color w:val="E8E8E8"/>
                <w:sz w:val="17"/>
                <w:szCs w:val="17"/>
              </w:rPr>
              <w:t xml:space="preserve">WHERE  p.id_prestador = :id AND p.corrente = TRUE</w:t>
            </w:r>
          </w:p>
          <w:p>
            <w:pPr>
              <w:spacing w:after="0" w:line="246"/>
            </w:pPr>
            <w:r>
              <w:rPr>
                <w:rFonts w:ascii="Consolas" w:cs="Consolas" w:eastAsia="Consolas" w:hAnsi="Consolas"/>
                <w:color w:val="E8E8E8"/>
                <w:sz w:val="17"/>
                <w:szCs w:val="17"/>
              </w:rPr>
              <w:t xml:space="preserve">GROUP  BY t.ano, t.mes, t.nome_mes</w:t>
            </w:r>
          </w:p>
          <w:p>
            <w:pPr>
              <w:spacing w:after="0" w:line="246"/>
            </w:pPr>
            <w:r>
              <w:rPr>
                <w:rFonts w:ascii="Consolas" w:cs="Consolas" w:eastAsia="Consolas" w:hAnsi="Consolas"/>
                <w:color w:val="E8E8E8"/>
                <w:sz w:val="17"/>
                <w:szCs w:val="17"/>
              </w:rPr>
              <w:t xml:space="preserve">ORDER  BY t.ano, t.mes;</w:t>
            </w:r>
          </w:p>
        </w:tc>
      </w:tr>
    </w:tbl>
    <w:p>
      <w:r>
        <w:br w:type="page"/>
      </w:r>
    </w:p>
    <w:p>
      <w:pPr>
        <w:pStyle w:val="Heading1"/>
        <w:spacing w:after="200" w:before="320" w:line="360"/>
      </w:pPr>
      <w:r>
        <w:t xml:space="preserve">6 EVOLUÇÃO PARA BIG DATA</w:t>
      </w:r>
    </w:p>
    <w:p>
      <w:pPr>
        <w:spacing w:after="120" w:before="0" w:line="360"/>
        <w:ind w:firstLine="709"/>
        <w:jc w:val="both"/>
      </w:pPr>
      <w:r>
        <w:t xml:space="preserve">A arquitetura apresentada atende plenamente a operação inicial da Remio. À medida que o volume de dados crescer — milhões de pedidos, eventos de navegação, geolocalização e mensagens — alguns componentes podem evoluir para um ecossistema de Big Data, mantendo o mesmo princípio de separar operação e análise: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b/>
          <w:bCs/>
        </w:rPr>
        <w:t xml:space="preserve">Ingestão de eventos em tempo real: </w:t>
      </w:r>
      <w:r>
        <w:t xml:space="preserve">uma camada de streaming (por exemplo, Apache Kafka) capturaria eventos do aplicativo de forma contínua, complementando a carga em lote do Pentaho.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b/>
          <w:bCs/>
        </w:rPr>
        <w:t xml:space="preserve">Data Lake: </w:t>
      </w:r>
      <w:r>
        <w:t xml:space="preserve">dados brutos e semiestruturados (logs, cliques, avaliações em texto) seriam armazenados em um data lake (por exemplo, em formato Parquet sobre armazenamento de objetos) antes do tratamento.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b/>
          <w:bCs/>
        </w:rPr>
        <w:t xml:space="preserve">Processamento distribuído: </w:t>
      </w:r>
      <w:r>
        <w:t xml:space="preserve">transformações sobre grandes volumes poderiam usar Apache Spark, preservando a lógica dimensional já definida.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b/>
          <w:bCs/>
        </w:rPr>
        <w:t xml:space="preserve">Analytics avançado: </w:t>
      </w:r>
      <w:r>
        <w:t xml:space="preserve">com a base histórica consolidada, tornam-se viáveis modelos preditivos — previsão de demanda por região, recomendação de prestadores e detecção de fraude no Pagamento Protegido.</w:t>
      </w:r>
    </w:p>
    <w:p>
      <w:pPr>
        <w:spacing w:after="120" w:before="80" w:line="360"/>
        <w:ind w:firstLine="709"/>
        <w:jc w:val="both"/>
      </w:pPr>
      <w:r>
        <w:t xml:space="preserve">Em todos os cenários, o modelo dimensional documentado aqui permanece como a camada de consumo analítico — a fonte única e confiável que alimenta os dashboards e as decisões de negócio da plataforma.</w:t>
      </w:r>
    </w:p>
    <w:sectPr>
      <w:headerReference w:type="default" r:id="rId11"/>
      <w:pgSz w:w="11906" w:h="16838" w:orient="portrait"/>
      <w:pgMar w:top="1701" w:right="1134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1F2937"/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1F2937"/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1F2937"/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1F2937"/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1F2937"/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F2937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20" w:line="360"/>
      <w:outlineLvl w:val="0"/>
    </w:pPr>
    <w:rPr>
      <w:rFonts w:ascii="Arial" w:cs="Arial" w:eastAsia="Arial" w:hAnsi="Arial"/>
      <w:b/>
      <w:bCs/>
      <w:color w:val="EA580C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40" w:line="360"/>
      <w:outlineLvl w:val="1"/>
    </w:pPr>
    <w:rPr>
      <w:rFonts w:ascii="Arial" w:cs="Arial" w:eastAsia="Arial" w:hAnsi="Arial"/>
      <w:b/>
      <w:bCs/>
      <w:color w:val="EA580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header" Target="header3.xml"/><Relationship Id="rId10" Type="http://schemas.openxmlformats.org/officeDocument/2006/relationships/header" Target="header4.xml"/><Relationship Id="rId11" Type="http://schemas.openxmlformats.org/officeDocument/2006/relationships/header" Target="header5.xml"/><Relationship Id="rId12" Type="http://schemas.openxmlformats.org/officeDocument/2006/relationships/image" Target="media/dea4bbca56e2fd8b468e92edbc4f6d994ffbcb9e.png"/><Relationship Id="rId13" Type="http://schemas.openxmlformats.org/officeDocument/2006/relationships/image" Target="media/f0b19f293e6b5f672f33d917ffa56ee473b29514.png"/><Relationship Id="rId14" Type="http://schemas.openxmlformats.org/officeDocument/2006/relationships/image" Target="media/c6169e3b17cb687ee9fd88267d43aef37dea9304.png"/><Relationship Id="rId15" Type="http://schemas.openxmlformats.org/officeDocument/2006/relationships/image" Target="media/0536b8c43361af29d3f1108265a6ad89d63cf5f2.png"/><Relationship Id="rId16" Type="http://schemas.openxmlformats.org/officeDocument/2006/relationships/image" Target="media/bb4ea060adc2e1c7a71e5be1b82b6f2fa433920c.png"/><Relationship Id="rId1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_rels/header3.xml.rels><?xml version="1.0" encoding="UTF-8"?><Relationships xmlns="http://schemas.openxmlformats.org/package/2006/relationships"/>
</file>

<file path=word/_rels/header4.xml.rels><?xml version="1.0" encoding="UTF-8"?><Relationships xmlns="http://schemas.openxmlformats.org/package/2006/relationships"/>
</file>

<file path=word/_rels/header5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Engenharia de Dados — Remio</dc:title>
  <dc:creator>Equipe Remio — TCC UNIFOR</dc:creator>
  <cp:lastModifiedBy>Un-named</cp:lastModifiedBy>
  <cp:revision>1</cp:revision>
  <dcterms:created xsi:type="dcterms:W3CDTF">2026-06-23T13:49:57.269Z</dcterms:created>
  <dcterms:modified xsi:type="dcterms:W3CDTF">2026-06-23T13:49:57.270Z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