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spacing w:after="80"/>
        <w:jc w:val="center"/>
      </w:pPr>
      <w:r>
        <w:rPr>
          <w:b/>
          <w:bCs/>
          <w:color w:val="EA580C"/>
          <w:sz w:val="72"/>
          <w:szCs w:val="72"/>
        </w:rPr>
        <w:t xml:space="preserve">REMIO</w:t>
      </w:r>
    </w:p>
    <w:p>
      <w:pPr>
        <w:spacing w:after="600"/>
        <w:jc w:val="center"/>
      </w:pPr>
      <w:r>
        <w:rPr>
          <w:color w:val="1F2937"/>
          <w:sz w:val="28"/>
          <w:szCs w:val="28"/>
        </w:rPr>
        <w:t xml:space="preserve">Plataforma de Serviços Domésticos</w:t>
      </w:r>
    </w:p>
    <w:p>
      <w:pPr>
        <w:spacing w:after="120"/>
        <w:jc w:val="center"/>
      </w:pPr>
      <w:r>
        <w:rPr>
          <w:b/>
          <w:bCs/>
          <w:color w:val="1F2937"/>
          <w:sz w:val="36"/>
          <w:szCs w:val="36"/>
        </w:rPr>
        <w:t xml:space="preserve">PROTÓTIPO DO SITE — PRINCIPAIS TELAS</w:t>
      </w:r>
    </w:p>
    <w:p>
      <w:pPr>
        <w:spacing w:after="1200"/>
        <w:jc w:val="center"/>
      </w:pPr>
      <w:r>
        <w:rPr>
          <w:color w:val="6B7280"/>
          <w:sz w:val="24"/>
          <w:szCs w:val="24"/>
        </w:rPr>
        <w:t xml:space="preserve">Capturas de tela das páginas desenvolvidas</w:t>
      </w:r>
    </w:p>
    <w:p>
      <w:pPr>
        <w:spacing w:after="80"/>
        <w:jc w:val="center"/>
      </w:pPr>
      <w:r>
        <w:rPr>
          <w:color w:val="1F2937"/>
          <w:sz w:val="24"/>
          <w:szCs w:val="24"/>
        </w:rPr>
        <w:t xml:space="preserve">Trabalho de Conclusão de Curso</w:t>
      </w:r>
    </w:p>
    <w:p>
      <w:pPr>
        <w:spacing w:after="80"/>
        <w:jc w:val="center"/>
      </w:pPr>
      <w:r>
        <w:rPr>
          <w:color w:val="1F2937"/>
          <w:sz w:val="24"/>
          <w:szCs w:val="24"/>
        </w:rPr>
        <w:t xml:space="preserve">MBA em Gestão Analítica com BI e Big Data</w:t>
      </w:r>
    </w:p>
    <w:p>
      <w:pPr>
        <w:spacing w:after="600"/>
        <w:jc w:val="center"/>
      </w:pPr>
      <w:r>
        <w:rPr>
          <w:color w:val="1F2937"/>
          <w:sz w:val="24"/>
          <w:szCs w:val="24"/>
        </w:rPr>
        <w:t xml:space="preserve">Universidade de Fortaleza — UNIFOR</w:t>
      </w:r>
    </w:p>
    <w:p>
      <w:pPr>
        <w:spacing w:after="60"/>
        <w:jc w:val="center"/>
      </w:pPr>
      <w:r>
        <w:rPr>
          <w:color w:val="6B7280"/>
          <w:sz w:val="22"/>
          <w:szCs w:val="22"/>
        </w:rPr>
        <w:t xml:space="preserve">Acesse o site: </w:t>
      </w:r>
      <w:hyperlink w:history="1" r:id="rId8q6sqjrjdbv1t110sunif">
        <w:r>
          <w:rPr>
            <w:rStyle w:val="Hyperlink"/>
            <w:sz w:val="22"/>
            <w:szCs w:val="22"/>
          </w:rPr>
          <w:t xml:space="preserve">luizotavioef.github.io/remio</w:t>
        </w:r>
      </w:hyperlink>
    </w:p>
    <w:p>
      <w:pPr>
        <w:spacing w:before="800"/>
        <w:jc w:val="center"/>
      </w:pPr>
      <w:r>
        <w:rPr>
          <w:color w:val="6B7280"/>
          <w:sz w:val="22"/>
          <w:szCs w:val="22"/>
        </w:rPr>
        <w:t xml:space="preserve">Fortaleza — CE, 2026</w:t>
      </w:r>
    </w:p>
    <w:p>
      <w:r>
        <w:br w:type="page"/>
      </w:r>
    </w:p>
    <w:p>
      <w:pPr>
        <w:pStyle w:val="Heading1"/>
        <w:spacing w:after="200" w:line="360"/>
      </w:pPr>
      <w:r>
        <w:t xml:space="preserve">APRESENTAÇÃO</w:t>
      </w:r>
    </w:p>
    <w:p>
      <w:pPr>
        <w:spacing w:after="120" w:line="360"/>
        <w:ind w:firstLine="709"/>
        <w:jc w:val="both"/>
      </w:pPr>
      <w:r>
        <w:t xml:space="preserve">Este documento reúne as capturas de tela das principais páginas do protótipo da plataforma Remio, um marketplace que conecta clientes a prestadores de serviços domésticos. As imagens demonstram a interface desenvolvida, a identidade visual adotada (laranja como cor principal, transmitindo o universo de serviços e construção) e as funcionalidades implementadas, incluindo os três painéis de Business Intelligence (BI).</w:t>
      </w:r>
    </w:p>
    <w:p>
      <w:pPr>
        <w:spacing w:after="120" w:line="360"/>
        <w:ind w:firstLine="709"/>
        <w:jc w:val="both"/>
      </w:pPr>
      <w:r>
        <w:t xml:space="preserve">As telas a seguir foram capturadas diretamente do site em funcionamento, demonstrando a jornada completa do usuário — da busca por profissionais até o pagamento protegido e a análise de indicadores.</w:t>
      </w:r>
    </w:p>
    <w:p>
      <w:r>
        <w:br w:type="page"/>
      </w:r>
    </w:p>
    <w:p>
      <w:pPr>
        <w:spacing w:after="40" w:before="0"/>
        <w:jc w:val="center"/>
      </w:pPr>
      <w:r>
        <w:rPr>
          <w:color w:val="1F2937"/>
          <w:sz w:val="20"/>
          <w:szCs w:val="20"/>
        </w:rPr>
        <w:t xml:space="preserve">Figura 1 — Página inicial (Home)</w:t>
      </w:r>
    </w:p>
    <w:p>
      <w:pPr>
        <w:spacing w:after="40"/>
        <w:jc w:val="center"/>
      </w:pPr>
      <w:r>
        <w:drawing>
          <wp:inline distT="0" distB="0" distL="0" distR="0">
            <wp:extent cx="4114800" cy="6858000"/>
            <wp:effectExtent t="0" r="0" b="0" l="0"/>
            <wp:docPr id="1" name="figura-1" descr="Tela de entrada da plataforma. Apresenta a busca principal por serviços, os atalhos para as categorias mais procuradas, o banner de publicação de pedidos, a grade completa de serviços domésticos, os profissionais em destaque e a seção &quot;como funciona&quot;, que explica a jornada em três passos." title="Página inicial (Hom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1F2937"/>
          <w:sz w:val="20"/>
          <w:szCs w:val="20"/>
        </w:rPr>
        <w:t xml:space="preserve">Fonte: elaborado pelos autores (2026).</w:t>
      </w:r>
    </w:p>
    <w:p>
      <w:pPr>
        <w:spacing w:after="0" w:line="360"/>
        <w:jc w:val="both"/>
      </w:pPr>
      <w:r>
        <w:rPr>
          <w:color w:val="1F2937"/>
          <w:sz w:val="22"/>
          <w:szCs w:val="22"/>
        </w:rPr>
        <w:t xml:space="preserve">Tela de entrada da plataforma. Apresenta a busca principal por serviços, os atalhos para as categorias mais procuradas, o banner de publicação de pedidos, a grade completa de serviços domésticos, os profissionais em destaque e a seção "como funciona", que explica a jornada em três passos.</w:t>
      </w:r>
    </w:p>
    <w:p>
      <w:r>
        <w:br w:type="page"/>
      </w:r>
    </w:p>
    <w:p>
      <w:pPr>
        <w:spacing w:after="40" w:before="0"/>
        <w:jc w:val="center"/>
      </w:pPr>
      <w:r>
        <w:rPr>
          <w:color w:val="1F2937"/>
          <w:sz w:val="20"/>
          <w:szCs w:val="20"/>
        </w:rPr>
        <w:t xml:space="preserve">Figura 2 — Busca de profissionais</w:t>
      </w:r>
    </w:p>
    <w:p>
      <w:pPr>
        <w:spacing w:after="40"/>
        <w:jc w:val="center"/>
      </w:pPr>
      <w:r>
        <w:drawing>
          <wp:inline distT="0" distB="0" distL="0" distR="0">
            <wp:extent cx="5486400" cy="6858000"/>
            <wp:effectExtent t="0" r="0" b="0" l="0"/>
            <wp:docPr id="1" name="figura-2" descr="Listagem de profissionais disponíveis com painel de filtros. O usuário pode refinar a busca por categoria, cidade, nota mínima e faixa de preço ($, $$ ou $$$), recurso inspirado em aplicativos como o iFood. Cada cartão exibe o selo de verificado, o badge PRO, a avaliação e a localização do profissional." title="Busca de profissiona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1F2937"/>
          <w:sz w:val="20"/>
          <w:szCs w:val="20"/>
        </w:rPr>
        <w:t xml:space="preserve">Fonte: elaborado pelos autores (2026).</w:t>
      </w:r>
    </w:p>
    <w:p>
      <w:pPr>
        <w:spacing w:after="0" w:line="360"/>
        <w:jc w:val="both"/>
      </w:pPr>
      <w:r>
        <w:rPr>
          <w:color w:val="1F2937"/>
          <w:sz w:val="22"/>
          <w:szCs w:val="22"/>
        </w:rPr>
        <w:t xml:space="preserve">Listagem de profissionais disponíveis com painel de filtros. O usuário pode refinar a busca por categoria, cidade, nota mínima e faixa de preço ($, $$ ou $$$), recurso inspirado em aplicativos como o iFood. Cada cartão exibe o selo de verificado, o badge PRO, a avaliação e a localização do profissional.</w:t>
      </w:r>
    </w:p>
    <w:p>
      <w:r>
        <w:br w:type="page"/>
      </w:r>
    </w:p>
    <w:p>
      <w:pPr>
        <w:spacing w:after="40" w:before="0"/>
        <w:jc w:val="center"/>
      </w:pPr>
      <w:r>
        <w:rPr>
          <w:color w:val="1F2937"/>
          <w:sz w:val="20"/>
          <w:szCs w:val="20"/>
        </w:rPr>
        <w:t xml:space="preserve">Figura 3 — Perfil do profissional</w:t>
      </w:r>
    </w:p>
    <w:p>
      <w:pPr>
        <w:spacing w:after="40"/>
        <w:jc w:val="center"/>
      </w:pPr>
      <w:r>
        <w:drawing>
          <wp:inline distT="0" distB="0" distL="0" distR="0">
            <wp:extent cx="5715000" cy="6743700"/>
            <wp:effectExtent t="0" r="0" b="0" l="0"/>
            <wp:docPr id="1" name="figura-3" descr="Página detalhada do prestador de serviço, com biografia, estatísticas, galeria de trabalhos realizados, qualificações e avaliações de clientes anteriores. A partir desta tela, o usuário inicia a solicitação de orçamento e visualiza o selo de Pagamento Protegido." title="Perfil do profissio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74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1F2937"/>
          <w:sz w:val="20"/>
          <w:szCs w:val="20"/>
        </w:rPr>
        <w:t xml:space="preserve">Fonte: elaborado pelos autores (2026).</w:t>
      </w:r>
    </w:p>
    <w:p>
      <w:pPr>
        <w:spacing w:after="0" w:line="360"/>
        <w:jc w:val="both"/>
      </w:pPr>
      <w:r>
        <w:rPr>
          <w:color w:val="1F2937"/>
          <w:sz w:val="22"/>
          <w:szCs w:val="22"/>
        </w:rPr>
        <w:t xml:space="preserve">Página detalhada do prestador de serviço, com biografia, estatísticas, galeria de trabalhos realizados, qualificações e avaliações de clientes anteriores. A partir desta tela, o usuário inicia a solicitação de orçamento e visualiza o selo de Pagamento Protegido.</w:t>
      </w:r>
    </w:p>
    <w:p>
      <w:r>
        <w:br w:type="page"/>
      </w:r>
    </w:p>
    <w:p>
      <w:pPr>
        <w:spacing w:after="40" w:before="0"/>
        <w:jc w:val="center"/>
      </w:pPr>
      <w:r>
        <w:rPr>
          <w:color w:val="1F2937"/>
          <w:sz w:val="20"/>
          <w:szCs w:val="20"/>
        </w:rPr>
        <w:t xml:space="preserve">Figura 4 — Meus pedidos</w:t>
      </w:r>
    </w:p>
    <w:p>
      <w:pPr>
        <w:spacing w:after="40"/>
        <w:jc w:val="center"/>
      </w:pPr>
      <w:r>
        <w:drawing>
          <wp:inline distT="0" distB="0" distL="0" distR="0">
            <wp:extent cx="5486400" cy="6858000"/>
            <wp:effectExtent t="0" r="0" b="0" l="0"/>
            <wp:docPr id="1" name="figura-4" descr="Acompanhamento dos pedidos do cliente, organizados por status: aguardando orçamento, orçamento recebido, agendado, concluído e avaliado. É nesta tela que ocorre o fluxo de Pagamento Protegido, no qual o valor fica retido pela plataforma até a confirmação da conclusão do serviço." title="Meus pedi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1F2937"/>
          <w:sz w:val="20"/>
          <w:szCs w:val="20"/>
        </w:rPr>
        <w:t xml:space="preserve">Fonte: elaborado pelos autores (2026).</w:t>
      </w:r>
    </w:p>
    <w:p>
      <w:pPr>
        <w:spacing w:after="0" w:line="360"/>
        <w:jc w:val="both"/>
      </w:pPr>
      <w:r>
        <w:rPr>
          <w:color w:val="1F2937"/>
          <w:sz w:val="22"/>
          <w:szCs w:val="22"/>
        </w:rPr>
        <w:t xml:space="preserve">Acompanhamento dos pedidos do cliente, organizados por status: aguardando orçamento, orçamento recebido, agendado, concluído e avaliado. É nesta tela que ocorre o fluxo de Pagamento Protegido, no qual o valor fica retido pela plataforma até a confirmação da conclusão do serviço.</w:t>
      </w:r>
    </w:p>
    <w:p>
      <w:r>
        <w:br w:type="page"/>
      </w:r>
    </w:p>
    <w:p>
      <w:pPr>
        <w:spacing w:after="40" w:before="0"/>
        <w:jc w:val="center"/>
      </w:pPr>
      <w:r>
        <w:rPr>
          <w:color w:val="1F2937"/>
          <w:sz w:val="20"/>
          <w:szCs w:val="20"/>
        </w:rPr>
        <w:t xml:space="preserve">Figura 5 — Empresas parceiras</w:t>
      </w:r>
    </w:p>
    <w:p>
      <w:pPr>
        <w:spacing w:after="40"/>
        <w:jc w:val="center"/>
      </w:pPr>
      <w:r>
        <w:drawing>
          <wp:inline distT="0" distB="0" distL="0" distR="0">
            <wp:extent cx="5715000" cy="5553075"/>
            <wp:effectExtent t="0" r="0" b="0" l="0"/>
            <wp:docPr id="1" name="figura-5" descr="Catálogo de lojas e fornecedores parceiros, com busca e filtro por segmento (materiais de construção, ferramentas, tintas, elétrica, entre outros). Cada parceiro exibe o selo de verificado, a avaliação e os segmentos atendidos." title="Empresas parceir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55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1F2937"/>
          <w:sz w:val="20"/>
          <w:szCs w:val="20"/>
        </w:rPr>
        <w:t xml:space="preserve">Fonte: elaborado pelos autores (2026).</w:t>
      </w:r>
    </w:p>
    <w:p>
      <w:pPr>
        <w:spacing w:after="0" w:line="360"/>
        <w:jc w:val="both"/>
      </w:pPr>
      <w:r>
        <w:rPr>
          <w:color w:val="1F2937"/>
          <w:sz w:val="22"/>
          <w:szCs w:val="22"/>
        </w:rPr>
        <w:t xml:space="preserve">Catálogo de lojas e fornecedores parceiros, com busca e filtro por segmento (materiais de construção, ferramentas, tintas, elétrica, entre outros). Cada parceiro exibe o selo de verificado, a avaliação e os segmentos atendidos.</w:t>
      </w:r>
    </w:p>
    <w:p>
      <w:r>
        <w:br w:type="page"/>
      </w:r>
    </w:p>
    <w:p>
      <w:pPr>
        <w:spacing w:after="40" w:before="0"/>
        <w:jc w:val="center"/>
      </w:pPr>
      <w:r>
        <w:rPr>
          <w:color w:val="1F2937"/>
          <w:sz w:val="20"/>
          <w:szCs w:val="20"/>
        </w:rPr>
        <w:t xml:space="preserve">Figura 6 — Entrada e seleção de papel</w:t>
      </w:r>
    </w:p>
    <w:p>
      <w:pPr>
        <w:spacing w:after="40"/>
        <w:jc w:val="center"/>
      </w:pPr>
      <w:r>
        <w:drawing>
          <wp:inline distT="0" distB="0" distL="0" distR="0">
            <wp:extent cx="5715000" cy="3971925"/>
            <wp:effectExtent t="0" r="0" b="0" l="0"/>
            <wp:docPr id="1" name="figura-6" descr="Tela de acesso à plataforma. O usuário escolhe como deseja utilizar o sistema — cliente, prestador ou empresa parceira — e a interface, em especial o painel de BI, adapta-se ao papel selecionado." title="Entrada e seleção de pap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1F2937"/>
          <w:sz w:val="20"/>
          <w:szCs w:val="20"/>
        </w:rPr>
        <w:t xml:space="preserve">Fonte: elaborado pelos autores (2026).</w:t>
      </w:r>
    </w:p>
    <w:p>
      <w:pPr>
        <w:spacing w:after="0" w:line="360"/>
        <w:jc w:val="both"/>
      </w:pPr>
      <w:r>
        <w:rPr>
          <w:color w:val="1F2937"/>
          <w:sz w:val="22"/>
          <w:szCs w:val="22"/>
        </w:rPr>
        <w:t xml:space="preserve">Tela de acesso à plataforma. O usuário escolhe como deseja utilizar o sistema — cliente, prestador ou empresa parceira — e a interface, em especial o painel de BI, adapta-se ao papel selecionado.</w:t>
      </w:r>
    </w:p>
    <w:p>
      <w:r>
        <w:br w:type="page"/>
      </w:r>
    </w:p>
    <w:p>
      <w:pPr>
        <w:spacing w:after="40" w:before="0"/>
        <w:jc w:val="center"/>
      </w:pPr>
      <w:r>
        <w:rPr>
          <w:color w:val="1F2937"/>
          <w:sz w:val="20"/>
          <w:szCs w:val="20"/>
        </w:rPr>
        <w:t xml:space="preserve">Figura 7 — Painel de BI — Cliente</w:t>
      </w:r>
    </w:p>
    <w:p>
      <w:pPr>
        <w:spacing w:after="40"/>
        <w:jc w:val="center"/>
      </w:pPr>
      <w:r>
        <w:drawing>
          <wp:inline distT="0" distB="0" distL="0" distR="0">
            <wp:extent cx="5715000" cy="5162550"/>
            <wp:effectExtent t="0" r="0" b="0" l="0"/>
            <wp:docPr id="1" name="figura-7" descr="Dashboard do cliente, com indicadores do seu uso da plataforma: total investido em serviços, número de contratações, nota média atribuída e economia estimada, além de gráficos de gastos por mês e de contratações por categoria." title="Painel de BI — Cl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6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1F2937"/>
          <w:sz w:val="20"/>
          <w:szCs w:val="20"/>
        </w:rPr>
        <w:t xml:space="preserve">Fonte: elaborado pelos autores (2026).</w:t>
      </w:r>
    </w:p>
    <w:p>
      <w:pPr>
        <w:spacing w:after="0" w:line="360"/>
        <w:jc w:val="both"/>
      </w:pPr>
      <w:r>
        <w:rPr>
          <w:color w:val="1F2937"/>
          <w:sz w:val="22"/>
          <w:szCs w:val="22"/>
        </w:rPr>
        <w:t xml:space="preserve">Dashboard do cliente, com indicadores do seu uso da plataforma: total investido em serviços, número de contratações, nota média atribuída e economia estimada, além de gráficos de gastos por mês e de contratações por categoria.</w:t>
      </w:r>
    </w:p>
    <w:p>
      <w:r>
        <w:br w:type="page"/>
      </w:r>
    </w:p>
    <w:p>
      <w:pPr>
        <w:spacing w:after="40" w:before="0"/>
        <w:jc w:val="center"/>
      </w:pPr>
      <w:r>
        <w:rPr>
          <w:color w:val="1F2937"/>
          <w:sz w:val="20"/>
          <w:szCs w:val="20"/>
        </w:rPr>
        <w:t xml:space="preserve">Figura 8 — Painel de BI — Prestador</w:t>
      </w:r>
    </w:p>
    <w:p>
      <w:pPr>
        <w:spacing w:after="40"/>
        <w:jc w:val="center"/>
      </w:pPr>
      <w:r>
        <w:drawing>
          <wp:inline distT="0" distB="0" distL="0" distR="0">
            <wp:extent cx="4705350" cy="6858000"/>
            <wp:effectExtent t="0" r="0" b="0" l="0"/>
            <wp:docPr id="1" name="figura-8" descr="Dashboard do prestador, voltado à gestão do seu desempenho: faturamento mensal, serviços concluídos, nota média e taxa de conversão de orçamentos. Inclui o comparativo entre o preço do profissional e a média da categoria e um mapa de calor com os horários de pico da demanda." title="Painel de BI — Prest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3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1F2937"/>
          <w:sz w:val="20"/>
          <w:szCs w:val="20"/>
        </w:rPr>
        <w:t xml:space="preserve">Fonte: elaborado pelos autores (2026).</w:t>
      </w:r>
    </w:p>
    <w:p>
      <w:pPr>
        <w:spacing w:after="0" w:line="360"/>
        <w:jc w:val="both"/>
      </w:pPr>
      <w:r>
        <w:rPr>
          <w:color w:val="1F2937"/>
          <w:sz w:val="22"/>
          <w:szCs w:val="22"/>
        </w:rPr>
        <w:t xml:space="preserve">Dashboard do prestador, voltado à gestão do seu desempenho: faturamento mensal, serviços concluídos, nota média e taxa de conversão de orçamentos. Inclui o comparativo entre o preço do profissional e a média da categoria e um mapa de calor com os horários de pico da demanda.</w:t>
      </w:r>
    </w:p>
    <w:p>
      <w:r>
        <w:br w:type="page"/>
      </w:r>
    </w:p>
    <w:p>
      <w:pPr>
        <w:spacing w:after="40" w:before="0"/>
        <w:jc w:val="center"/>
      </w:pPr>
      <w:r>
        <w:rPr>
          <w:color w:val="1F2937"/>
          <w:sz w:val="20"/>
          <w:szCs w:val="20"/>
        </w:rPr>
        <w:t xml:space="preserve">Figura 9 — Painel de BI — Empresa Parceira</w:t>
      </w:r>
    </w:p>
    <w:p>
      <w:pPr>
        <w:spacing w:after="40"/>
        <w:jc w:val="center"/>
      </w:pPr>
      <w:r>
        <w:drawing>
          <wp:inline distT="0" distB="0" distL="0" distR="0">
            <wp:extent cx="5715000" cy="5953125"/>
            <wp:effectExtent t="0" r="0" b="0" l="0"/>
            <wp:docPr id="1" name="figura-9" descr="Dashboard da empresa parceira, com os resultados da loja dentro do ecossistema Remio: indicações recebidas, contatos gerados, taxa de conversão e avaliação, além do funil que acompanha a jornada da indicação até a venda estimada." title="Painel de BI — Empresa Parce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95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1F2937"/>
          <w:sz w:val="20"/>
          <w:szCs w:val="20"/>
        </w:rPr>
        <w:t xml:space="preserve">Fonte: elaborado pelos autores (2026).</w:t>
      </w:r>
    </w:p>
    <w:p>
      <w:pPr>
        <w:spacing w:after="0" w:line="360"/>
        <w:jc w:val="both"/>
      </w:pPr>
      <w:r>
        <w:rPr>
          <w:color w:val="1F2937"/>
          <w:sz w:val="22"/>
          <w:szCs w:val="22"/>
        </w:rPr>
        <w:t xml:space="preserve">Dashboard da empresa parceira, com os resultados da loja dentro do ecossistema Remio: indicações recebidas, contatos gerados, taxa de conversão e avaliação, além do funil que acompanha a jornada da indicação até a venda estimada.</w:t>
      </w:r>
    </w:p>
    <w:p>
      <w:r>
        <w:br w:type="page"/>
      </w:r>
    </w:p>
    <w:p>
      <w:pPr>
        <w:spacing w:after="40" w:before="0"/>
        <w:jc w:val="center"/>
      </w:pPr>
      <w:r>
        <w:rPr>
          <w:color w:val="1F2937"/>
          <w:sz w:val="20"/>
          <w:szCs w:val="20"/>
        </w:rPr>
        <w:t xml:space="preserve">Figura 10 — Insights de IA</w:t>
      </w:r>
    </w:p>
    <w:p>
      <w:pPr>
        <w:spacing w:after="40"/>
        <w:jc w:val="center"/>
      </w:pPr>
      <w:r>
        <w:drawing>
          <wp:inline distT="0" distB="0" distL="0" distR="0">
            <wp:extent cx="5715000" cy="6743700"/>
            <wp:effectExtent t="0" r="0" b="0" l="0"/>
            <wp:docPr id="1" name="figura-10" descr="Tela que analisa as avaliações dos clientes usando a API da Claude (Anthropic). A inteligência artificial classifica o sentimento, calcula um índice de satisfação, identifica os temas recorrentes e gera pontos fortes, pontos de melhoria e sugestões para a plataforma — conectando o protótipo aos fluxos de IA descritos na arquitetura." title="Insights de 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74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1F2937"/>
          <w:sz w:val="20"/>
          <w:szCs w:val="20"/>
        </w:rPr>
        <w:t xml:space="preserve">Fonte: elaborado pelos autores (2026).</w:t>
      </w:r>
    </w:p>
    <w:p>
      <w:pPr>
        <w:spacing w:after="0" w:line="360"/>
        <w:jc w:val="both"/>
      </w:pPr>
      <w:r>
        <w:rPr>
          <w:color w:val="1F2937"/>
          <w:sz w:val="22"/>
          <w:szCs w:val="22"/>
        </w:rPr>
        <w:t xml:space="preserve">Tela que analisa as avaliações dos clientes usando a API da Claude (Anthropic). A inteligência artificial classifica o sentimento, calcula um índice de satisfação, identifica os temas recorrentes e gera pontos fortes, pontos de melhoria e sugestões para a plataforma — conectando o protótipo aos fluxos de IA descritos na arquitetura.</w:t>
      </w:r>
    </w:p>
    <w:p>
      <w:r>
        <w:br w:type="page"/>
      </w:r>
    </w:p>
    <w:p>
      <w:pPr>
        <w:spacing w:after="40" w:before="0"/>
        <w:jc w:val="center"/>
      </w:pPr>
      <w:r>
        <w:rPr>
          <w:color w:val="1F2937"/>
          <w:sz w:val="20"/>
          <w:szCs w:val="20"/>
        </w:rPr>
        <w:t xml:space="preserve">Figura 11 — Monitoramento e observabilidade</w:t>
      </w:r>
    </w:p>
    <w:p>
      <w:pPr>
        <w:spacing w:after="40"/>
        <w:jc w:val="center"/>
      </w:pPr>
      <w:r>
        <w:drawing>
          <wp:inline distT="0" distB="0" distL="0" distR="0">
            <wp:extent cx="4819650" cy="6858000"/>
            <wp:effectExtent t="0" r="0" b="0" l="0"/>
            <wp:docPr id="1" name="figura-11" descr="Painel de observabilidade da plataforma: indicadores de saúde do sistema (disponibilidade, latência, taxa de erro), gráficos de latência e de requisições, verificação de saúde dos serviços (health checks), checagem de qualidade dos dados do ETL e o repositório de erros, que captura automaticamente as falhas de JavaScript do site." title="Monitoramento e observabilida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6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1F2937"/>
          <w:sz w:val="20"/>
          <w:szCs w:val="20"/>
        </w:rPr>
        <w:t xml:space="preserve">Fonte: elaborado pelos autores (2026).</w:t>
      </w:r>
    </w:p>
    <w:p>
      <w:pPr>
        <w:spacing w:after="0" w:line="360"/>
        <w:jc w:val="both"/>
      </w:pPr>
      <w:r>
        <w:rPr>
          <w:color w:val="1F2937"/>
          <w:sz w:val="22"/>
          <w:szCs w:val="22"/>
        </w:rPr>
        <w:t xml:space="preserve">Painel de observabilidade da plataforma: indicadores de saúde do sistema (disponibilidade, latência, taxa de erro), gráficos de latência e de requisições, verificação de saúde dos serviços (health checks), checagem de qualidade dos dados do ETL e o repositório de erros, que captura automaticamente as falhas de JavaScript do site.</w:t>
      </w:r>
    </w:p>
    <w:sectPr>
      <w:head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1F2937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937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 w:line="360"/>
      <w:outlineLvl w:val="0"/>
    </w:pPr>
    <w:rPr>
      <w:rFonts w:ascii="Arial" w:cs="Arial" w:eastAsia="Arial" w:hAnsi="Arial"/>
      <w:b/>
      <w:bCs/>
      <w:color w:val="EA580C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q6sqjrjdbv1t110sunif" Type="http://schemas.openxmlformats.org/officeDocument/2006/relationships/hyperlink" Target="https://luizotavioef.github.io/remio/" TargetMode="External"/><Relationship Id="rId8" Type="http://schemas.openxmlformats.org/officeDocument/2006/relationships/image" Target="media/2031a26e4a5af22497fc9a76fbf5755ff65d4b8a.png"/><Relationship Id="rId9" Type="http://schemas.openxmlformats.org/officeDocument/2006/relationships/image" Target="media/51b7e3345177786e9ad750777a8e47d282bd5929.png"/><Relationship Id="rId10" Type="http://schemas.openxmlformats.org/officeDocument/2006/relationships/image" Target="media/d17fc02dcb34e4d82d28b6fddaa4a1a59eb0f412.png"/><Relationship Id="rId11" Type="http://schemas.openxmlformats.org/officeDocument/2006/relationships/image" Target="media/9e0bc6a7466cb6f404bc05e12d97c690ad1e13be.png"/><Relationship Id="rId12" Type="http://schemas.openxmlformats.org/officeDocument/2006/relationships/image" Target="media/6fee99e7466f5f3e1c6e92060e5b1a26a33e3959.png"/><Relationship Id="rId13" Type="http://schemas.openxmlformats.org/officeDocument/2006/relationships/image" Target="media/b564dac9448cbd020f5f1d188ebb3a95a006880f.png"/><Relationship Id="rId14" Type="http://schemas.openxmlformats.org/officeDocument/2006/relationships/image" Target="media/7f50a53116e1cd3426fbe98bc112cc977bf7f7c9.png"/><Relationship Id="rId15" Type="http://schemas.openxmlformats.org/officeDocument/2006/relationships/image" Target="media/a9f1e4edcad15e01eb684808f1dda94dcf46c520.png"/><Relationship Id="rId16" Type="http://schemas.openxmlformats.org/officeDocument/2006/relationships/image" Target="media/137be8e357ad4c16eea7040814565ba1a678d469.png"/><Relationship Id="rId17" Type="http://schemas.openxmlformats.org/officeDocument/2006/relationships/image" Target="media/def164c0029589e2ce7090bffed03cd7a4f69fba.png"/><Relationship Id="rId18" Type="http://schemas.openxmlformats.org/officeDocument/2006/relationships/image" Target="media/d4c8d9ce903ee596a797e8fce41d6c28cdf9ddd0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Prototipo do Site — Principais Telas — Remio</dc:title>
  <dc:creator>Equipe Remio — TCC UNIFOR</dc:creator>
  <cp:lastModifiedBy>Un-named</cp:lastModifiedBy>
  <cp:revision>1</cp:revision>
  <dcterms:created xsi:type="dcterms:W3CDTF">2026-06-23T21:47:35.467Z</dcterms:created>
  <dcterms:modified xsi:type="dcterms:W3CDTF">2026-06-23T21:47:35.471Z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