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b/>
          <w:bCs/>
          <w:color w:val="EA580C"/>
          <w:sz w:val="72"/>
          <w:szCs w:val="72"/>
        </w:rPr>
        <w:t xml:space="preserve">REMIO</w:t>
      </w:r>
    </w:p>
    <w:p>
      <w:pPr>
        <w:spacing w:after="600"/>
        <w:jc w:val="center"/>
      </w:pPr>
      <w:r>
        <w:rPr>
          <w:color w:val="1F2937"/>
          <w:sz w:val="28"/>
          <w:szCs w:val="28"/>
        </w:rPr>
        <w:t xml:space="preserve">Plataforma de Serviços Domésticos</w:t>
      </w:r>
    </w:p>
    <w:p>
      <w:pPr>
        <w:spacing w:after="120"/>
        <w:jc w:val="center"/>
      </w:pPr>
      <w:r>
        <w:rPr>
          <w:b/>
          <w:bCs/>
          <w:color w:val="1F2937"/>
          <w:sz w:val="36"/>
          <w:szCs w:val="36"/>
        </w:rPr>
        <w:t xml:space="preserve">PROTÓTIPO DO SITE — PRINCIPAIS TELAS</w:t>
      </w:r>
    </w:p>
    <w:p>
      <w:pPr>
        <w:spacing w:after="1200"/>
        <w:jc w:val="center"/>
      </w:pPr>
      <w:r>
        <w:rPr>
          <w:color w:val="6B7280"/>
          <w:sz w:val="24"/>
          <w:szCs w:val="24"/>
        </w:rPr>
        <w:t xml:space="preserve">Capturas de tela das páginas desenvolvidas</w:t>
      </w:r>
    </w:p>
    <w:p>
      <w:pPr>
        <w:spacing w:after="80"/>
        <w:jc w:val="center"/>
      </w:pPr>
      <w:r>
        <w:rPr>
          <w:color w:val="1F2937"/>
          <w:sz w:val="24"/>
          <w:szCs w:val="24"/>
        </w:rPr>
        <w:t xml:space="preserve">Trabalho de Conclusão de Curso</w:t>
      </w:r>
    </w:p>
    <w:p>
      <w:pPr>
        <w:spacing w:after="80"/>
        <w:jc w:val="center"/>
      </w:pPr>
      <w:r>
        <w:rPr>
          <w:color w:val="1F2937"/>
          <w:sz w:val="24"/>
          <w:szCs w:val="24"/>
        </w:rPr>
        <w:t xml:space="preserve">MBA em Gestão Analítica com BI e Big Data</w:t>
      </w:r>
    </w:p>
    <w:p>
      <w:pPr>
        <w:spacing w:after="600"/>
        <w:jc w:val="center"/>
      </w:pPr>
      <w:r>
        <w:rPr>
          <w:color w:val="1F2937"/>
          <w:sz w:val="24"/>
          <w:szCs w:val="24"/>
        </w:rPr>
        <w:t xml:space="preserve">Universidade de Fortaleza — UNIFOR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Acesse o site: </w:t>
      </w:r>
      <w:hyperlink w:history="1" r:id="rIdj2evmhlhw3up6df6wp9hj">
        <w:r>
          <w:rPr>
            <w:rStyle w:val="Hyperlink"/>
            <w:sz w:val="22"/>
            <w:szCs w:val="22"/>
          </w:rPr>
          <w:t xml:space="preserve">luizotavioef.github.io/remio</w:t>
        </w:r>
      </w:hyperlink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Fortaleza — CE, 2026</w:t>
      </w:r>
    </w:p>
    <w:p>
      <w:r>
        <w:br w:type="page"/>
      </w:r>
    </w:p>
    <w:p>
      <w:pPr>
        <w:pStyle w:val="Heading1"/>
        <w:spacing w:after="160"/>
      </w:pPr>
      <w:r>
        <w:t xml:space="preserve">Apresentação</w:t>
      </w:r>
    </w:p>
    <w:p>
      <w:pPr>
        <w:spacing w:after="120" w:line="276"/>
        <w:jc w:val="both"/>
      </w:pPr>
      <w:r>
        <w:t xml:space="preserve">Este documento reúne as capturas de tela das principais páginas do protótipo da plataforma Remio, um marketplace que conecta clientes a prestadores de serviços domésticos. As imagens demonstram a interface desenvolvida, a identidade visual adotada (laranja como cor principal, transmitindo o universo de serviços e construção) e as funcionalidades implementadas, incluindo os três painéis de Business Intelligence (BI).</w:t>
      </w:r>
    </w:p>
    <w:p>
      <w:pPr>
        <w:spacing w:after="120" w:line="276"/>
        <w:jc w:val="both"/>
      </w:pPr>
      <w:r>
        <w:t xml:space="preserve">As telas a seguir foram capturadas diretamente do site em funcionamento, demonstrando a jornada completa do usuário — da busca por profissionais até o pagamento protegido e a análise de indicadores.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1 — Página inicial (Home)</w:t>
      </w:r>
    </w:p>
    <w:p>
      <w:pPr>
        <w:spacing w:after="120"/>
        <w:jc w:val="center"/>
      </w:pPr>
      <w:r>
        <w:drawing>
          <wp:inline distT="0" distB="0" distL="0" distR="0">
            <wp:extent cx="3886200" cy="6477000"/>
            <wp:effectExtent t="0" r="0" b="0" l="0"/>
            <wp:docPr id="1" name="figura-1" descr="Tela de entrada da plataforma. Apresenta a busca principal por serviços, os atalhos para as categorias mais procuradas, o banner de publicação de pedidos, a grade completa de serviços domésticos, os profissionais em destaque e a seção &quot;como funciona&quot;, que explica a jornada em três passos." title="Página inicial (Hom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Tela de entrada da plataforma. Apresenta a busca principal por serviços, os atalhos para as categorias mais procuradas, o banner de publicação de pedidos, a grade completa de serviços domésticos, os profissionais em destaque e a seção "como funciona", que explica a jornada em três passos.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2 — Busca de profissionais</w:t>
      </w:r>
    </w:p>
    <w:p>
      <w:pPr>
        <w:spacing w:after="120"/>
        <w:jc w:val="center"/>
      </w:pPr>
      <w:r>
        <w:drawing>
          <wp:inline distT="0" distB="0" distL="0" distR="0">
            <wp:extent cx="5181600" cy="6477000"/>
            <wp:effectExtent t="0" r="0" b="0" l="0"/>
            <wp:docPr id="1" name="figura-2" descr="Listagem de profissionais disponíveis com painel de filtros. O usuário pode refinar a busca por categoria, cidade, nota mínima e faixa de preço ($, $$ ou $$$), recurso inspirado em aplicativos como o iFood. Cada cartão exibe o selo de verificado, o badge PRO, a avaliação e a localização do profissional." title="Busca de profission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Listagem de profissionais disponíveis com painel de filtros. O usuário pode refinar a busca por categoria, cidade, nota mínima e faixa de preço ($, $$ ou $$$), recurso inspirado em aplicativos como o iFood. Cada cartão exibe o selo de verificado, o badge PRO, a avaliação e a localização do profissional.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3 — Perfil do profissional</w:t>
      </w:r>
    </w:p>
    <w:p>
      <w:pPr>
        <w:spacing w:after="120"/>
        <w:jc w:val="center"/>
      </w:pPr>
      <w:r>
        <w:drawing>
          <wp:inline distT="0" distB="0" distL="0" distR="0">
            <wp:extent cx="5486400" cy="6477000"/>
            <wp:effectExtent t="0" r="0" b="0" l="0"/>
            <wp:docPr id="1" name="figura-3" descr="Página detalhada do prestador de serviço, com biografia, estatísticas, galeria de trabalhos realizados, qualificações e avaliações de clientes anteriores. A partir desta tela, o usuário inicia a solicitação de orçamento e visualiza o selo de Pagamento Protegido." title="Perfil do profi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Página detalhada do prestador de serviço, com biografia, estatísticas, galeria de trabalhos realizados, qualificações e avaliações de clientes anteriores. A partir desta tela, o usuário inicia a solicitação de orçamento e visualiza o selo de Pagamento Protegido.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4 — Meus pedidos</w:t>
      </w:r>
    </w:p>
    <w:p>
      <w:pPr>
        <w:spacing w:after="120"/>
        <w:jc w:val="center"/>
      </w:pPr>
      <w:r>
        <w:drawing>
          <wp:inline distT="0" distB="0" distL="0" distR="0">
            <wp:extent cx="5181600" cy="6477000"/>
            <wp:effectExtent t="0" r="0" b="0" l="0"/>
            <wp:docPr id="1" name="figura-4" descr="Acompanhamento dos pedidos do cliente, organizados por status: aguardando orçamento, orçamento recebido, agendado, concluído e avaliado. É nesta tela que ocorre o fluxo de Pagamento Protegido, no qual o valor fica retido pela plataforma até a confirmação da conclusão do serviço." title="Meus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Acompanhamento dos pedidos do cliente, organizados por status: aguardando orçamento, orçamento recebido, agendado, concluído e avaliado. É nesta tela que ocorre o fluxo de Pagamento Protegido, no qual o valor fica retido pela plataforma até a confirmação da conclusão do serviço.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5 — Empresas parceiras</w:t>
      </w:r>
    </w:p>
    <w:p>
      <w:pPr>
        <w:spacing w:after="120"/>
        <w:jc w:val="center"/>
      </w:pPr>
      <w:r>
        <w:drawing>
          <wp:inline distT="0" distB="0" distL="0" distR="0">
            <wp:extent cx="5943600" cy="5781675"/>
            <wp:effectExtent t="0" r="0" b="0" l="0"/>
            <wp:docPr id="1" name="figura-5" descr="Catálogo de lojas e fornecedores parceiros, com busca e filtro por segmento (materiais de construção, ferramentas, tintas, elétrica, entre outros). Cada parceiro exibe o selo de verificado, a avaliação e os segmentos atendidos." title="Empresas parcei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Catálogo de lojas e fornecedores parceiros, com busca e filtro por segmento (materiais de construção, ferramentas, tintas, elétrica, entre outros). Cada parceiro exibe o selo de verificado, a avaliação e os segmentos atendidos.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6 — Entrada e seleção de papel</w:t>
      </w:r>
    </w:p>
    <w:p>
      <w:pPr>
        <w:spacing w:after="12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figura-6" descr="Tela de acesso à plataforma. O usuário escolhe como deseja utilizar o sistema — cliente, prestador ou empresa parceira — e a interface, em especial o painel de BI, adapta-se ao papel selecionado." title="Entrada e seleção de pap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Tela de acesso à plataforma. O usuário escolhe como deseja utilizar o sistema — cliente, prestador ou empresa parceira — e a interface, em especial o painel de BI, adapta-se ao papel selecionado.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7 — Painel de BI — Cliente</w:t>
      </w:r>
    </w:p>
    <w:p>
      <w:pPr>
        <w:spacing w:after="120"/>
        <w:jc w:val="center"/>
      </w:pPr>
      <w:r>
        <w:drawing>
          <wp:inline distT="0" distB="0" distL="0" distR="0">
            <wp:extent cx="5943600" cy="5362575"/>
            <wp:effectExtent t="0" r="0" b="0" l="0"/>
            <wp:docPr id="1" name="figura-7" descr="Dashboard do cliente, com indicadores do seu uso da plataforma: total investido em serviços, número de contratações, nota média atribuída e economia estimada, além de gráficos de gastos por mês e de contratações por categoria." title="Painel de BI —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Dashboard do cliente, com indicadores do seu uso da plataforma: total investido em serviços, número de contratações, nota média atribuída e economia estimada, além de gráficos de gastos por mês e de contratações por categoria.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8 — Painel de BI — Prestador</w:t>
      </w:r>
    </w:p>
    <w:p>
      <w:pPr>
        <w:spacing w:after="120"/>
        <w:jc w:val="center"/>
      </w:pPr>
      <w:r>
        <w:drawing>
          <wp:inline distT="0" distB="0" distL="0" distR="0">
            <wp:extent cx="4438650" cy="6477000"/>
            <wp:effectExtent t="0" r="0" b="0" l="0"/>
            <wp:docPr id="1" name="figura-8" descr="Dashboard do prestador, voltado à gestão do seu desempenho: faturamento mensal, serviços concluídos, nota média e taxa de conversão de orçamentos. Inclui o comparativo entre o preço do profissional e a média da categoria e um mapa de calor com os horários de pico da demanda." title="Painel de BI — Pres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Dashboard do prestador, voltado à gestão do seu desempenho: faturamento mensal, serviços concluídos, nota média e taxa de conversão de orçamentos. Inclui o comparativo entre o preço do profissional e a média da categoria e um mapa de calor com os horários de pico da demanda.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9 — Painel de BI — Empresa Parceira</w:t>
      </w:r>
    </w:p>
    <w:p>
      <w:pPr>
        <w:spacing w:after="120"/>
        <w:jc w:val="center"/>
      </w:pPr>
      <w:r>
        <w:drawing>
          <wp:inline distT="0" distB="0" distL="0" distR="0">
            <wp:extent cx="5943600" cy="6191250"/>
            <wp:effectExtent t="0" r="0" b="0" l="0"/>
            <wp:docPr id="1" name="figura-9" descr="Dashboard da empresa parceira, com os resultados da loja dentro do ecossistema Remio: indicações recebidas, contatos gerados, taxa de conversão e avaliação, além do funil que acompanha a jornada da indicação até a venda estimada." title="Painel de BI — Empresa Parc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Dashboard da empresa parceira, com os resultados da loja dentro do ecossistema Remio: indicações recebidas, contatos gerados, taxa de conversão e avaliação, além do funil que acompanha a jornada da indicação até a venda estimada.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10 — Insights de IA</w:t>
      </w:r>
    </w:p>
    <w:p>
      <w:pPr>
        <w:spacing w:after="120"/>
        <w:jc w:val="center"/>
      </w:pPr>
      <w:r>
        <w:drawing>
          <wp:inline distT="0" distB="0" distL="0" distR="0">
            <wp:extent cx="5486400" cy="6477000"/>
            <wp:effectExtent t="0" r="0" b="0" l="0"/>
            <wp:docPr id="1" name="figura-10" descr="Tela que analisa as avaliações dos clientes usando a API da Claude (Anthropic). A inteligência artificial classifica o sentimento, calcula um índice de satisfação, identifica os temas recorrentes e gera pontos fortes, pontos de melhoria e sugestões para a plataforma — conectando o protótipo aos fluxos de IA descritos na arquitetura." title="Insights d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Tela que analisa as avaliações dos clientes usando a API da Claude (Anthropic). A inteligência artificial classifica o sentimento, calcula um índice de satisfação, identifica os temas recorrentes e gera pontos fortes, pontos de melhoria e sugestões para a plataforma — conectando o protótipo aos fluxos de IA descritos na arquitetura.</w:t>
      </w:r>
    </w:p>
    <w:p>
      <w:r>
        <w:br w:type="page"/>
      </w:r>
    </w:p>
    <w:p>
      <w:pPr>
        <w:pStyle w:val="Heading1"/>
        <w:spacing w:after="160" w:before="0"/>
      </w:pPr>
      <w:r>
        <w:t xml:space="preserve">Figura 11 — Monitoramento e observabilidade</w:t>
      </w:r>
    </w:p>
    <w:p>
      <w:pPr>
        <w:spacing w:after="120"/>
        <w:jc w:val="center"/>
      </w:pPr>
      <w:r>
        <w:drawing>
          <wp:inline distT="0" distB="0" distL="0" distR="0">
            <wp:extent cx="4552950" cy="6477000"/>
            <wp:effectExtent t="0" r="0" b="0" l="0"/>
            <wp:docPr id="1" name="figura-11" descr="Painel de observabilidade da plataforma: indicadores de saúde do sistema (disponibilidade, latência, taxa de erro), gráficos de latência e de requisições, verificação de saúde dos serviços (health checks), checagem de qualidade dos dados do ETL e o repositório de erros, que captura automaticamente as falhas de JavaScript do site." title="Monitoramento e observa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both"/>
      </w:pPr>
      <w:r>
        <w:rPr>
          <w:color w:val="4B5563"/>
          <w:sz w:val="20"/>
          <w:szCs w:val="20"/>
        </w:rPr>
        <w:t xml:space="preserve">Painel de observabilidade da plataforma: indicadores de saúde do sistema (disponibilidade, latência, taxa de erro), gráficos de latência e de requisições, verificação de saúde dos serviços (health checks), checagem de qualidade dos dados do ETL e o repositório de erros, que captura automaticamente as falhas de JavaScript do site.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Remio — Protótipo do Site  |  </w:t>
    </w: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580C" w:sz="6" w:space="4"/>
      </w:pBdr>
      <w:spacing w:after="160" w:before="0"/>
      <w:outlineLvl w:val="0"/>
    </w:pPr>
    <w:rPr>
      <w:rFonts w:ascii="Arial" w:cs="Arial" w:eastAsia="Arial" w:hAnsi="Arial"/>
      <w:b/>
      <w:bCs/>
      <w:color w:val="EA58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2evmhlhw3up6df6wp9hj" Type="http://schemas.openxmlformats.org/officeDocument/2006/relationships/hyperlink" Target="https://luizotavioef.github.io/remio/" TargetMode="External"/><Relationship Id="rId8" Type="http://schemas.openxmlformats.org/officeDocument/2006/relationships/image" Target="media/2031a26e4a5af22497fc9a76fbf5755ff65d4b8a.png"/><Relationship Id="rId9" Type="http://schemas.openxmlformats.org/officeDocument/2006/relationships/image" Target="media/51b7e3345177786e9ad750777a8e47d282bd5929.png"/><Relationship Id="rId10" Type="http://schemas.openxmlformats.org/officeDocument/2006/relationships/image" Target="media/d17fc02dcb34e4d82d28b6fddaa4a1a59eb0f412.png"/><Relationship Id="rId11" Type="http://schemas.openxmlformats.org/officeDocument/2006/relationships/image" Target="media/9e0bc6a7466cb6f404bc05e12d97c690ad1e13be.png"/><Relationship Id="rId12" Type="http://schemas.openxmlformats.org/officeDocument/2006/relationships/image" Target="media/6fee99e7466f5f3e1c6e92060e5b1a26a33e3959.png"/><Relationship Id="rId13" Type="http://schemas.openxmlformats.org/officeDocument/2006/relationships/image" Target="media/b564dac9448cbd020f5f1d188ebb3a95a006880f.png"/><Relationship Id="rId14" Type="http://schemas.openxmlformats.org/officeDocument/2006/relationships/image" Target="media/7f50a53116e1cd3426fbe98bc112cc977bf7f7c9.png"/><Relationship Id="rId15" Type="http://schemas.openxmlformats.org/officeDocument/2006/relationships/image" Target="media/a9f1e4edcad15e01eb684808f1dda94dcf46c520.png"/><Relationship Id="rId16" Type="http://schemas.openxmlformats.org/officeDocument/2006/relationships/image" Target="media/137be8e357ad4c16eea7040814565ba1a678d469.png"/><Relationship Id="rId17" Type="http://schemas.openxmlformats.org/officeDocument/2006/relationships/image" Target="media/def164c0029589e2ce7090bffed03cd7a4f69fba.png"/><Relationship Id="rId18" Type="http://schemas.openxmlformats.org/officeDocument/2006/relationships/image" Target="media/d4c8d9ce903ee596a797e8fce41d6c28cdf9ddd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 do Site — Principais Telas — Remio</dc:title>
  <dc:creator>Equipe Remio — TCC UNIFOR</dc:creator>
  <cp:lastModifiedBy>Un-named</cp:lastModifiedBy>
  <cp:revision>1</cp:revision>
  <dcterms:created xsi:type="dcterms:W3CDTF">2026-06-19T22:20:09.655Z</dcterms:created>
  <dcterms:modified xsi:type="dcterms:W3CDTF">2026-06-19T22:20:09.656Z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