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jc w:val="center"/>
        <w:rPr>
          <w:rFonts w:ascii="Times New Roman" w:hAnsi="Times New Roman"/>
          <w:b/>
          <w:b/>
          <w:bCs/>
        </w:rPr>
      </w:pPr>
      <w:r>
        <w:rPr>
          <w:rFonts w:ascii="Times New Roman" w:hAnsi="Times New Roman"/>
          <w:b/>
          <w:bCs/>
        </w:rPr>
        <w:t xml:space="preserve">Efeito do acesso à educação básica na renda </w:t>
      </w:r>
      <w:r>
        <w:rPr>
          <w:rFonts w:ascii="Times New Roman" w:hAnsi="Times New Roman"/>
          <w:b/>
          <w:bCs/>
        </w:rPr>
        <w:t>d</w:t>
      </w:r>
      <w:r>
        <w:rPr>
          <w:rFonts w:ascii="Times New Roman" w:hAnsi="Times New Roman"/>
          <w:b/>
          <w:bCs/>
        </w:rPr>
        <w:t xml:space="preserve">os municípios </w:t>
      </w:r>
      <w:r>
        <w:rPr>
          <w:rFonts w:eastAsia="NSimSun" w:cs="Mangal" w:ascii="Times New Roman" w:hAnsi="Times New Roman"/>
          <w:b/>
          <w:bCs/>
          <w:color w:val="auto"/>
          <w:kern w:val="2"/>
          <w:sz w:val="24"/>
          <w:szCs w:val="24"/>
          <w:lang w:val="pt-BR" w:eastAsia="zh-CN" w:bidi="hi-IN"/>
        </w:rPr>
        <w:t>Goianos</w:t>
      </w:r>
    </w:p>
    <w:p>
      <w:pPr>
        <w:pStyle w:val="Normal"/>
        <w:spacing w:lineRule="auto" w:line="360" w:before="0" w:after="240"/>
        <w:jc w:val="center"/>
        <w:rPr>
          <w:rFonts w:ascii="Times New Roman" w:hAnsi="Times New Roman"/>
          <w:b/>
          <w:b/>
          <w:bC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
        <w:jc w:val="right"/>
        <w:rPr>
          <w:sz w:val="22"/>
          <w:szCs w:val="22"/>
        </w:rPr>
      </w:pPr>
      <w:r>
        <w:rPr>
          <w:rFonts w:ascii="Times New Roman" w:hAnsi="Times New Roman"/>
          <w:sz w:val="22"/>
          <w:szCs w:val="22"/>
        </w:rPr>
        <w:t>Luiz Paulo T. Gonçalves</w:t>
      </w:r>
      <w:r>
        <w:rPr>
          <w:rStyle w:val="Ncoradanotaderodap"/>
          <w:rFonts w:ascii="Times New Roman" w:hAnsi="Times New Roman"/>
          <w:sz w:val="22"/>
          <w:szCs w:val="22"/>
        </w:rPr>
        <w:footnoteReference w:id="2"/>
      </w:r>
    </w:p>
    <w:p>
      <w:pPr>
        <w:pStyle w:val="Normal"/>
        <w:jc w:val="right"/>
        <w:rPr>
          <w:sz w:val="22"/>
          <w:szCs w:val="22"/>
        </w:rPr>
      </w:pPr>
      <w:r>
        <w:rPr>
          <w:rFonts w:ascii="Times New Roman" w:hAnsi="Times New Roman"/>
          <w:sz w:val="22"/>
          <w:szCs w:val="22"/>
        </w:rPr>
        <w:t>Gabriel Santana Oliveira</w:t>
      </w:r>
      <w:r>
        <w:rPr>
          <w:rStyle w:val="Ncoradanotaderodap"/>
          <w:rFonts w:ascii="Times New Roman" w:hAnsi="Times New Roman"/>
          <w:sz w:val="22"/>
          <w:szCs w:val="22"/>
        </w:rPr>
        <w:footnoteReference w:id="3"/>
      </w:r>
    </w:p>
    <w:p>
      <w:pPr>
        <w:pStyle w:val="Normal"/>
        <w:jc w:val="right"/>
        <w:rPr>
          <w:sz w:val="22"/>
          <w:szCs w:val="22"/>
        </w:rPr>
      </w:pPr>
      <w:r>
        <w:rPr>
          <w:rFonts w:ascii="Times New Roman" w:hAnsi="Times New Roman"/>
          <w:sz w:val="22"/>
          <w:szCs w:val="22"/>
        </w:rPr>
        <w:t>Lui</w:t>
      </w:r>
      <w:r>
        <w:rPr>
          <w:rFonts w:ascii="Times New Roman" w:hAnsi="Times New Roman"/>
          <w:sz w:val="22"/>
          <w:szCs w:val="22"/>
        </w:rPr>
        <w:t>s</w:t>
      </w:r>
      <w:r>
        <w:rPr>
          <w:rFonts w:ascii="Times New Roman" w:hAnsi="Times New Roman"/>
          <w:sz w:val="22"/>
          <w:szCs w:val="22"/>
        </w:rPr>
        <w:t xml:space="preserve"> Batista Alves </w:t>
      </w:r>
      <w:r>
        <w:rPr>
          <w:rStyle w:val="Ncoradanotaderodap"/>
          <w:rFonts w:ascii="Times New Roman" w:hAnsi="Times New Roman"/>
          <w:sz w:val="22"/>
          <w:szCs w:val="22"/>
        </w:rPr>
        <w:footnoteReference w:id="4"/>
      </w:r>
    </w:p>
    <w:p>
      <w:pPr>
        <w:pStyle w:val="Normal"/>
        <w:spacing w:before="0" w:after="240"/>
        <w:rPr>
          <w:rFonts w:ascii="Times New Roman" w:hAnsi="Times New Roman"/>
        </w:rPr>
      </w:pPr>
      <w:r>
        <w:rPr>
          <w:rFonts w:ascii="Times New Roman" w:hAnsi="Times New Roman"/>
        </w:rPr>
      </w:r>
    </w:p>
    <w:p>
      <w:pPr>
        <w:pStyle w:val="Normal"/>
        <w:spacing w:before="0" w:after="240"/>
        <w:jc w:val="both"/>
        <w:rPr>
          <w:rFonts w:ascii="Times New Roman" w:hAnsi="Times New Roman"/>
        </w:rPr>
      </w:pPr>
      <w:r>
        <w:rPr>
          <w:rFonts w:ascii="Times New Roman" w:hAnsi="Times New Roman"/>
          <w:b/>
          <w:bCs/>
        </w:rPr>
        <w:t>Resumo</w:t>
      </w:r>
      <w:r>
        <w:rPr>
          <w:rFonts w:ascii="Times New Roman" w:hAnsi="Times New Roman"/>
        </w:rPr>
        <w:t xml:space="preserve">: O presente artigo visa evidenciar os efeitos do acesso à educação básica na renda dos municípios </w:t>
      </w:r>
      <w:r>
        <w:rPr>
          <w:rFonts w:eastAsia="NSimSun" w:cs="Mangal" w:ascii="Times New Roman" w:hAnsi="Times New Roman"/>
          <w:color w:val="auto"/>
          <w:kern w:val="2"/>
          <w:sz w:val="24"/>
          <w:szCs w:val="24"/>
          <w:lang w:val="pt-BR" w:eastAsia="zh-CN" w:bidi="hi-IN"/>
        </w:rPr>
        <w:t>do Estado de Goiás</w:t>
      </w:r>
      <w:r>
        <w:rPr>
          <w:rFonts w:ascii="Times New Roman" w:hAnsi="Times New Roman"/>
        </w:rPr>
        <w:t xml:space="preserve">. Selecionando como amostra apenas os municípios produtores de soja como estratégia para controlar a heterogeneidade na renda derivada da cadeia produtiva entre os municípios e para minimizar a superestimação do efeito da escolaridade na renda, estimou-se um modelo com dados em painel com efeito aleatório via Mínimos Quadrados Generalizados (MQG). O trabalho parte da hipótese de que o maior acesso à educação básica proporciona maior renda média aos municípios; analisando em um recorte temporal de longo prazo para os anos de 2000 e 2010. Os resultados </w:t>
      </w:r>
      <w:r>
        <w:rPr>
          <w:rFonts w:ascii="Times New Roman" w:hAnsi="Times New Roman"/>
        </w:rPr>
        <w:t>indicam</w:t>
      </w:r>
      <w:r>
        <w:rPr>
          <w:rFonts w:ascii="Times New Roman" w:hAnsi="Times New Roman"/>
        </w:rPr>
        <w:t xml:space="preserve"> que os municípios com um maior acesso à educação </w:t>
      </w:r>
      <w:r>
        <w:rPr>
          <w:rFonts w:ascii="Times New Roman" w:hAnsi="Times New Roman"/>
        </w:rPr>
        <w:t>obtiveram</w:t>
      </w:r>
      <w:r>
        <w:rPr>
          <w:rFonts w:ascii="Times New Roman" w:hAnsi="Times New Roman"/>
        </w:rPr>
        <w:t xml:space="preserve"> </w:t>
      </w:r>
      <w:r>
        <w:rPr>
          <w:rFonts w:ascii="Times New Roman" w:hAnsi="Times New Roman"/>
        </w:rPr>
        <w:t>deslocamento</w:t>
      </w:r>
      <w:r>
        <w:rPr>
          <w:rFonts w:ascii="Times New Roman" w:hAnsi="Times New Roman"/>
        </w:rPr>
        <w:t xml:space="preserve"> positivo na renda, </w:t>
      </w:r>
      <w:r>
        <w:rPr>
          <w:rFonts w:eastAsia="NSimSun" w:cs="Mangal" w:ascii="Times New Roman" w:hAnsi="Times New Roman"/>
          <w:color w:val="auto"/>
          <w:kern w:val="2"/>
          <w:sz w:val="24"/>
          <w:szCs w:val="24"/>
          <w:lang w:val="pt-BR" w:eastAsia="zh-CN" w:bidi="hi-IN"/>
        </w:rPr>
        <w:t>assim</w:t>
      </w:r>
      <w:r>
        <w:rPr>
          <w:rFonts w:ascii="Times New Roman" w:hAnsi="Times New Roman"/>
        </w:rPr>
        <w:t>, encontrando na escolaridade um efeito maior sobre a renda do que no restante das variáveis de controle.</w:t>
      </w:r>
    </w:p>
    <w:p>
      <w:pPr>
        <w:pStyle w:val="Normal"/>
        <w:spacing w:before="0" w:after="240"/>
        <w:jc w:val="both"/>
        <w:rPr>
          <w:rFonts w:ascii="Times New Roman" w:hAnsi="Times New Roman"/>
        </w:rPr>
      </w:pPr>
      <w:r>
        <w:rPr>
          <w:rFonts w:ascii="Times New Roman" w:hAnsi="Times New Roman"/>
          <w:b/>
          <w:bCs/>
        </w:rPr>
        <w:t>Palavras-Chave</w:t>
      </w:r>
      <w:r>
        <w:rPr>
          <w:rFonts w:ascii="Times New Roman" w:hAnsi="Times New Roman"/>
        </w:rPr>
        <w:t>: renda, educação, Goiás.</w:t>
      </w:r>
    </w:p>
    <w:p>
      <w:pPr>
        <w:pStyle w:val="Normal"/>
        <w:spacing w:before="0" w:after="240"/>
        <w:jc w:val="both"/>
        <w:rPr>
          <w:rFonts w:ascii="Times New Roman" w:hAnsi="Times New Roman"/>
        </w:rPr>
      </w:pPr>
      <w:r>
        <w:rPr>
          <w:rFonts w:ascii="Times New Roman" w:hAnsi="Times New Roman"/>
          <w:b/>
          <w:bCs/>
        </w:rPr>
        <w:t>Classificação JEL</w:t>
      </w:r>
      <w:r>
        <w:rPr>
          <w:rFonts w:ascii="Times New Roman" w:hAnsi="Times New Roman"/>
        </w:rPr>
        <w:t xml:space="preserve">: I21, I26. </w:t>
      </w:r>
    </w:p>
    <w:p>
      <w:pPr>
        <w:pStyle w:val="Normal"/>
        <w:spacing w:before="0" w:after="240"/>
        <w:jc w:val="both"/>
        <w:rPr>
          <w:rFonts w:ascii="Times New Roman" w:hAnsi="Times New Roman"/>
        </w:rPr>
      </w:pPr>
      <w:r>
        <w:rPr/>
      </w:r>
    </w:p>
    <w:p>
      <w:pPr>
        <w:pStyle w:val="Normal"/>
        <w:spacing w:before="0" w:after="240"/>
        <w:jc w:val="both"/>
        <w:rPr>
          <w:rFonts w:ascii="Times New Roman" w:hAnsi="Times New Roman"/>
          <w:lang w:val="en-US"/>
        </w:rPr>
      </w:pPr>
      <w:r>
        <w:rPr>
          <w:rFonts w:ascii="Times New Roman" w:hAnsi="Times New Roman"/>
          <w:b/>
          <w:bCs/>
          <w:lang w:val="en-US"/>
        </w:rPr>
        <w:t>Abstract</w:t>
      </w:r>
      <w:r>
        <w:rPr>
          <w:rFonts w:ascii="Times New Roman" w:hAnsi="Times New Roman"/>
          <w:lang w:val="en-US"/>
        </w:rPr>
        <w:t xml:space="preserve">: </w:t>
      </w:r>
      <w:r>
        <w:rPr>
          <w:rFonts w:ascii="Times New Roman" w:hAnsi="Times New Roman"/>
          <w:b w:val="false"/>
          <w:i w:val="false"/>
          <w:caps w:val="false"/>
          <w:smallCaps w:val="false"/>
          <w:color w:val="000000"/>
          <w:spacing w:val="0"/>
          <w:sz w:val="24"/>
          <w:lang w:val="en-US"/>
        </w:rPr>
        <w:t>This article aims to demonstrate the effects of access to basic education on the income of municipalities in the state of Goiás. As a sample, only soy-producing municipalities were selected as a strategy to control heterogeneity in income derived from the production chain among municipalities and to minimize overestimation of the effect of education on income. Thus, a panel data model with random effects was estimated using Generalized Least Squares (GLS). The study is based on the hypothesis that greater access to basic education provides higher average income for municipalities, analyzing a long-term temporal period from 2000 to 2010. The results indicate that municipalities with greater access to education experienced a positive shift in income, finding a greater effect of education on income than in the other control variables</w:t>
      </w:r>
      <w:r>
        <w:rPr>
          <w:rFonts w:ascii="Times New Roman" w:hAnsi="Times New Roman"/>
          <w:color w:val="000000"/>
          <w:lang w:val="en-US"/>
        </w:rPr>
        <w:t>.</w:t>
      </w:r>
    </w:p>
    <w:p>
      <w:pPr>
        <w:pStyle w:val="Normal"/>
        <w:spacing w:before="0" w:after="240"/>
        <w:jc w:val="both"/>
        <w:rPr>
          <w:rFonts w:ascii="Times New Roman" w:hAnsi="Times New Roman"/>
        </w:rPr>
      </w:pPr>
      <w:r>
        <w:rPr>
          <w:rFonts w:ascii="Times New Roman" w:hAnsi="Times New Roman"/>
          <w:b/>
          <w:bCs/>
        </w:rPr>
        <w:t>Keywords</w:t>
      </w:r>
      <w:r>
        <w:rPr>
          <w:rFonts w:ascii="Times New Roman" w:hAnsi="Times New Roman"/>
        </w:rPr>
        <w:t>: income, education, Goiás.</w:t>
      </w:r>
    </w:p>
    <w:p>
      <w:pPr>
        <w:pStyle w:val="Normal"/>
        <w:spacing w:lineRule="auto" w:line="360" w:before="0" w:after="240"/>
        <w:jc w:val="both"/>
        <w:rPr>
          <w:rFonts w:ascii="Times New Roman" w:hAnsi="Times New Roman"/>
        </w:rPr>
      </w:pPr>
      <w:r>
        <w:rPr>
          <w:rFonts w:ascii="Times New Roman" w:hAnsi="Times New Roman"/>
          <w:b/>
          <w:bCs/>
        </w:rPr>
        <w:t>JEL Classification:</w:t>
      </w:r>
      <w:r>
        <w:rPr>
          <w:rFonts w:ascii="Times New Roman" w:hAnsi="Times New Roman"/>
        </w:rPr>
        <w:t xml:space="preserve"> I21, I26.</w:t>
      </w:r>
    </w:p>
    <w:p>
      <w:pPr>
        <w:pStyle w:val="Normal"/>
        <w:spacing w:lineRule="auto" w:line="360" w:before="0" w:after="240"/>
        <w:jc w:val="both"/>
        <w:rPr>
          <w:rFonts w:ascii="Times New Roman" w:hAnsi="Times New Roman"/>
          <w:b/>
          <w:b/>
          <w:bCs/>
        </w:rPr>
      </w:pPr>
      <w:r>
        <w:rPr>
          <w:rFonts w:ascii="Times New Roman" w:hAnsi="Times New Roman"/>
          <w:b/>
          <w:bCs/>
        </w:rPr>
        <w:t>Área 3: Economia Regional e Urbana</w:t>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rPr>
          <w:rFonts w:ascii="Times New Roman" w:hAnsi="Times New Roman"/>
          <w:b/>
          <w:b/>
          <w:bCs/>
        </w:rPr>
      </w:pPr>
      <w:r>
        <w:rPr/>
      </w:r>
    </w:p>
    <w:p>
      <w:pPr>
        <w:pStyle w:val="Normal"/>
        <w:spacing w:lineRule="auto" w:line="360" w:before="0" w:after="240"/>
        <w:rPr>
          <w:rFonts w:ascii="Times New Roman" w:hAnsi="Times New Roman"/>
          <w:b/>
          <w:b/>
          <w:bCs/>
        </w:rPr>
      </w:pPr>
      <w:r>
        <w:rPr>
          <w:rFonts w:ascii="Times New Roman" w:hAnsi="Times New Roman"/>
          <w:b/>
          <w:bCs/>
        </w:rPr>
        <w:t>1. Introdução</w:t>
      </w:r>
    </w:p>
    <w:p>
      <w:pPr>
        <w:pStyle w:val="Normal"/>
        <w:spacing w:lineRule="auto" w:line="360" w:before="0" w:after="240"/>
        <w:ind w:firstLine="907"/>
        <w:jc w:val="both"/>
        <w:rPr>
          <w:rFonts w:ascii="Times New Roman" w:hAnsi="Times New Roman"/>
        </w:rPr>
      </w:pPr>
      <w:r>
        <w:rPr>
          <w:rFonts w:ascii="Times New Roman" w:hAnsi="Times New Roman"/>
        </w:rPr>
        <w:t xml:space="preserve">O clássico artigo de </w:t>
      </w:r>
      <w:bookmarkStart w:id="0" w:name="_Hlk81464694"/>
      <w:r>
        <w:rPr>
          <w:rFonts w:ascii="Times New Roman" w:hAnsi="Times New Roman"/>
        </w:rPr>
        <w:t>Solow (1956)</w:t>
      </w:r>
      <w:bookmarkEnd w:id="0"/>
      <w:r>
        <w:rPr>
          <w:rFonts w:ascii="Times New Roman" w:hAnsi="Times New Roman"/>
        </w:rPr>
        <w:t xml:space="preserve">, impulsionou a moderna teoria do crescimento econômico. Ampliando ou, no mínimo, consolidando na literatura uma nova forma funcional de modelar as variáveis explicativas do crescimento econômico </w:t>
      </w:r>
      <w:r>
        <w:rPr>
          <w:rFonts w:ascii="Times New Roman" w:hAnsi="Times New Roman"/>
          <w:color w:val="000000"/>
        </w:rPr>
        <w:t xml:space="preserve">— </w:t>
      </w:r>
      <w:r>
        <w:rPr>
          <w:rFonts w:ascii="Times New Roman" w:hAnsi="Times New Roman"/>
        </w:rPr>
        <w:t>para além do modelo de Harrod-Domar</w:t>
      </w:r>
      <w:r>
        <w:rPr>
          <w:rStyle w:val="Ncoradanotaderodap"/>
          <w:rFonts w:ascii="Times New Roman" w:hAnsi="Times New Roman"/>
        </w:rPr>
        <w:footnoteReference w:id="5"/>
      </w:r>
      <w:r>
        <w:rPr>
          <w:rFonts w:ascii="Times New Roman" w:hAnsi="Times New Roman"/>
        </w:rPr>
        <w:t>. Não obstante, à época, o modelo carecia de uma variável fundamental, a qual ficou conhecida na literatura como: capital humano</w:t>
      </w:r>
      <w:r>
        <w:rPr>
          <w:rStyle w:val="Ncoradanotaderodap"/>
          <w:rFonts w:ascii="Times New Roman" w:hAnsi="Times New Roman"/>
        </w:rPr>
        <w:footnoteReference w:id="6"/>
      </w:r>
      <w:r>
        <w:rPr>
          <w:rFonts w:ascii="Times New Roman" w:hAnsi="Times New Roman"/>
        </w:rPr>
        <w:t>. Consolidando-se posteriormente na literatura econômica como uma das variáveis fundamentais para ajudar explicar o crescimento econômico e, consequentemente, a renda e sua convergência entre os países (Barros, 20</w:t>
      </w:r>
      <w:bookmarkStart w:id="1" w:name="_Hlk81464935"/>
      <w:bookmarkEnd w:id="1"/>
      <w:r>
        <w:rPr>
          <w:rFonts w:ascii="Times New Roman" w:hAnsi="Times New Roman"/>
        </w:rPr>
        <w:t xml:space="preserve">12). O capital humano normalmente é conceituado na literatura moderna como uma </w:t>
      </w:r>
      <w:r>
        <w:rPr>
          <w:rFonts w:ascii="Times New Roman" w:hAnsi="Times New Roman"/>
          <w:i/>
          <w:iCs/>
        </w:rPr>
        <w:t>proxy</w:t>
      </w:r>
      <w:r>
        <w:rPr>
          <w:rFonts w:ascii="Times New Roman" w:hAnsi="Times New Roman"/>
        </w:rPr>
        <w:t xml:space="preserve"> para o nível educacional ou de capacitação do fator trabalho. Mincer (1958) e Schultz (197</w:t>
      </w:r>
      <w:bookmarkStart w:id="2" w:name="_Hlk81464954"/>
      <w:bookmarkEnd w:id="2"/>
      <w:r>
        <w:rPr>
          <w:rFonts w:ascii="Times New Roman" w:hAnsi="Times New Roman"/>
        </w:rPr>
        <w:t>3) foram os pioneiros na linha de pesquisa relacionada com o papel desempenhado da educação na renda. Com Lucas (198</w:t>
      </w:r>
      <w:bookmarkStart w:id="3" w:name="_Hlk81464979"/>
      <w:bookmarkEnd w:id="3"/>
      <w:r>
        <w:rPr>
          <w:rFonts w:ascii="Times New Roman" w:hAnsi="Times New Roman"/>
        </w:rPr>
        <w:t>8) e com o modelo de crescimento econômico de Mankiw, Romer e Weil (199</w:t>
      </w:r>
      <w:bookmarkStart w:id="4" w:name="_Hlk81464990"/>
      <w:bookmarkEnd w:id="4"/>
      <w:r>
        <w:rPr>
          <w:rFonts w:ascii="Times New Roman" w:hAnsi="Times New Roman"/>
        </w:rPr>
        <w:t>2), ampliando o modelo de Solow, surgiu uma ampla gama de evidências empíricas ressaltando o papel crucial do capital humano na economia (tanto na formação da renda quanto para o crescimento econômico).</w:t>
      </w:r>
    </w:p>
    <w:p>
      <w:pPr>
        <w:pStyle w:val="Normal"/>
        <w:spacing w:lineRule="auto" w:line="360" w:before="0" w:after="240"/>
        <w:ind w:firstLine="907"/>
        <w:jc w:val="both"/>
        <w:rPr>
          <w:rFonts w:ascii="Times New Roman" w:hAnsi="Times New Roman"/>
        </w:rPr>
      </w:pPr>
      <w:r>
        <w:rPr>
          <w:rFonts w:ascii="Times New Roman" w:hAnsi="Times New Roman"/>
        </w:rPr>
        <w:t xml:space="preserve">Para além da teoria do crescimento econômico, porém, seguindo o estado da arte da literatura sobre capital humano ou economia da educação, o presente artigo busca analisar os efeitos da escolaridade na renda. Procurando identificar a relação entre renda e educação, focando especialmente nos efeitos do acesso à educação básica na renda média dos municípios goianos. O objeto de estudo e análise empírica centra-se em uma amostra de 105 municípios produtores de soja do Estado de Goiás </w:t>
      </w:r>
      <w:r>
        <w:rPr>
          <w:rFonts w:ascii="Times New Roman" w:hAnsi="Times New Roman"/>
          <w:color w:val="000000"/>
        </w:rPr>
        <w:t>—</w:t>
      </w:r>
      <w:r>
        <w:rPr>
          <w:rFonts w:ascii="Times New Roman" w:hAnsi="Times New Roman"/>
        </w:rPr>
        <w:t xml:space="preserve"> contemplando todas as mesorregiões do Estado. Como estratégia de estimação, utilizou-se dados em painel com efeito aleatório via Mínimos Quadrados Generalizados (MQG). Foram selecionados apenas os municípios produtores de soja, assim,</w:t>
      </w:r>
      <w:r>
        <w:rPr>
          <w:rFonts w:ascii="Times New Roman" w:hAnsi="Times New Roman"/>
          <w:color w:val="000000"/>
        </w:rPr>
        <w:t xml:space="preserve"> levando em consideração que o Estado de Goiás tem posição de destaque na produção de soja em nível nacional, com o objetivo de controlar ou, no mínimo, amenizar a discrepância de renda entre os municípios derivada da produção de soja.</w:t>
      </w:r>
    </w:p>
    <w:p>
      <w:pPr>
        <w:pStyle w:val="Normal"/>
        <w:spacing w:lineRule="auto" w:line="360" w:before="0" w:after="240"/>
        <w:ind w:firstLine="850"/>
        <w:jc w:val="both"/>
        <w:rPr/>
      </w:pPr>
      <w:r>
        <w:rPr>
          <w:rFonts w:ascii="Times New Roman" w:hAnsi="Times New Roman"/>
          <w:color w:val="000000"/>
        </w:rPr>
        <w:t>Este trabalho conta com sete secções, além desta introdução. Na segunda secção, expõe-se a contextualização e a revisão da literatura; na terceira, busca-se expor a estratégia de estimação e o modelo econométrico; na quarta, expõe-se a fonte dos dados do modelo; na quinta, conjectura uma rápida análise exploratória e descritiva dos dados; na sexta, apresentam-se os resultados do modelo obtidos e, por fim, na sétima secção, expõem-se as conclusões obtidas com o trabalho.</w:t>
      </w:r>
    </w:p>
    <w:p>
      <w:pPr>
        <w:pStyle w:val="Normal"/>
        <w:spacing w:lineRule="auto" w:line="360" w:before="0" w:after="240"/>
        <w:rPr>
          <w:b/>
          <w:b/>
          <w:bCs/>
        </w:rPr>
      </w:pPr>
      <w:r>
        <w:rPr>
          <w:b/>
          <w:bCs/>
        </w:rPr>
      </w:r>
    </w:p>
    <w:p>
      <w:pPr>
        <w:pStyle w:val="Normal"/>
        <w:spacing w:lineRule="auto" w:line="360" w:before="0" w:after="240"/>
        <w:rPr>
          <w:b/>
          <w:b/>
          <w:bCs/>
        </w:rPr>
      </w:pPr>
      <w:r>
        <w:rPr>
          <w:rFonts w:ascii="Times New Roman" w:hAnsi="Times New Roman"/>
          <w:b/>
          <w:bCs/>
        </w:rPr>
        <w:t>2. Background e Revisão da Literatura</w:t>
      </w:r>
    </w:p>
    <w:p>
      <w:pPr>
        <w:pStyle w:val="Normal"/>
        <w:spacing w:lineRule="auto" w:line="360" w:before="0" w:after="240"/>
        <w:ind w:firstLine="850"/>
        <w:jc w:val="both"/>
        <w:rPr>
          <w:rFonts w:ascii="Times New Roman" w:hAnsi="Times New Roman"/>
        </w:rPr>
      </w:pPr>
      <w:r>
        <w:rPr>
          <w:rFonts w:ascii="Times New Roman" w:hAnsi="Times New Roman"/>
        </w:rPr>
        <w:t xml:space="preserve">Ao longo do desenvolvimento da literatura econômica, acumulou-se, de certa forma, um consenso designando o desempenho do fator trabalho na função de produção. Modelando com coeficientes fixos ou com elasticidade de substituição capital-trabalho à lá </w:t>
      </w:r>
      <w:r>
        <w:rPr>
          <w:rFonts w:ascii="Times New Roman" w:hAnsi="Times New Roman"/>
          <w:i/>
          <w:iCs/>
        </w:rPr>
        <w:t>Cobb-Douglas</w:t>
      </w:r>
      <w:r>
        <w:rPr>
          <w:rFonts w:ascii="Times New Roman" w:hAnsi="Times New Roman"/>
        </w:rPr>
        <w:t>, é consenso o papel preponderante tanto do fator trabalho quanto do fator capital na produção. Mesmo antes de Adam Smith publicar seu famoso tratado, com os fisiocratas, já ocorria o debate acerca do papel desempenhado na produção entre terra-trabalho na economia política pré-clássica</w:t>
      </w:r>
      <w:r>
        <w:rPr>
          <w:rStyle w:val="Ncoradanotaderodap"/>
          <w:rFonts w:ascii="Times New Roman" w:hAnsi="Times New Roman"/>
        </w:rPr>
        <w:footnoteReference w:id="7"/>
      </w:r>
      <w:r>
        <w:rPr>
          <w:rFonts w:ascii="Times New Roman" w:hAnsi="Times New Roman"/>
        </w:rPr>
        <w:t>. No estado da arte da literatura econômica contemporânea, destacou-se não apenas uma gama de evidências empíricas ressaltando os efeitos da qualificação educacional ou capacitação profissional no fator trabalho, mas também os desdobramentos da qualificação na produtividade do fator trabalho e, consequentemente, na renda e no crescimento econômico.</w:t>
      </w:r>
    </w:p>
    <w:p>
      <w:pPr>
        <w:pStyle w:val="Normal"/>
        <w:spacing w:lineRule="auto" w:line="360" w:before="0" w:after="240"/>
        <w:ind w:firstLine="907"/>
        <w:jc w:val="both"/>
        <w:rPr>
          <w:rFonts w:ascii="Times New Roman" w:hAnsi="Times New Roman"/>
        </w:rPr>
      </w:pPr>
      <w:r>
        <w:rPr>
          <w:rFonts w:ascii="Times New Roman" w:hAnsi="Times New Roman"/>
        </w:rPr>
        <w:t xml:space="preserve">Na esteira das pesquisas sobre os efeitos da qualificação do fator trabalho, Mincer (1958) e Schultz (1973) pavimentaram o caminho para uma frutífera linha de pesquisa envolvendo economia e educação. Ampliando as evidências empíricas, ressaltando o papel crucial do fator trabalho qualificado ou do capital humano, tanto nos salários quanto na distribuição de renda e no crescimento econômico com o aumento da produtividade. A incorporação do capital humano para ajudar explicar o crescimento econômico, ampliando o clássico modelo de Solow, foi em muito tributário do trabalho de </w:t>
      </w:r>
      <w:bookmarkStart w:id="5" w:name="_Hlk81465713"/>
      <w:r>
        <w:rPr>
          <w:rFonts w:ascii="Times New Roman" w:hAnsi="Times New Roman"/>
        </w:rPr>
        <w:t>Mankiw, Romer e Weil (1992)</w:t>
      </w:r>
      <w:bookmarkEnd w:id="5"/>
      <w:r>
        <w:rPr>
          <w:rStyle w:val="Ncoradanotaderodap"/>
          <w:rFonts w:ascii="Times New Roman" w:hAnsi="Times New Roman"/>
        </w:rPr>
        <w:footnoteReference w:id="8"/>
      </w:r>
      <w:r>
        <w:rPr>
          <w:rFonts w:ascii="Times New Roman" w:hAnsi="Times New Roman"/>
        </w:rPr>
        <w:t>. Por sua vez, a famosa equação de Mincer (1974</w:t>
      </w:r>
      <w:bookmarkStart w:id="6" w:name="_Hlk81465730"/>
      <w:bookmarkEnd w:id="6"/>
      <w:r>
        <w:rPr>
          <w:rFonts w:ascii="Times New Roman" w:hAnsi="Times New Roman"/>
        </w:rPr>
        <w:t>) contribuiu para o entendimento da relação entre qualificação da mão de obra com a estrutura salarial e na mensuração do retorno do investimento em educação</w:t>
      </w:r>
      <w:r>
        <w:rPr>
          <w:rStyle w:val="Ncoradanotaderodap"/>
          <w:rFonts w:ascii="Times New Roman" w:hAnsi="Times New Roman"/>
        </w:rPr>
        <w:footnoteReference w:id="9"/>
      </w:r>
      <w:r>
        <w:rPr>
          <w:rFonts w:ascii="Times New Roman" w:hAnsi="Times New Roman"/>
        </w:rPr>
        <w:t>. No Brasil, Langoni (197</w:t>
      </w:r>
      <w:bookmarkStart w:id="7" w:name="_Hlk81465772"/>
      <w:bookmarkEnd w:id="7"/>
      <w:r>
        <w:rPr>
          <w:rFonts w:ascii="Times New Roman" w:hAnsi="Times New Roman"/>
        </w:rPr>
        <w:t>4) destacou-se como um dos pioneiros na literatura acerca dos efeitos da educação na distribuição de renda e no crescimento econômico –  dinamizando o debate em território brasileiro sobre os efeitos da educação na economia.</w:t>
      </w:r>
    </w:p>
    <w:p>
      <w:pPr>
        <w:pStyle w:val="Normal"/>
        <w:spacing w:lineRule="auto" w:line="360" w:before="0" w:after="240"/>
        <w:ind w:firstLine="907"/>
        <w:jc w:val="both"/>
        <w:rPr>
          <w:rFonts w:ascii="Times New Roman" w:hAnsi="Times New Roman"/>
        </w:rPr>
      </w:pPr>
      <w:r>
        <w:rPr>
          <w:rFonts w:ascii="Times New Roman" w:hAnsi="Times New Roman"/>
        </w:rPr>
        <w:t xml:space="preserve">O presente trabalho insere-se justamente na tradição de pesquisa da economia da educação mencionado anteriormente: analisando os efeitos que a educação exerce sobre a renda, remontando à ideia de capital humano, assumindo como hipótese que o maior acesso à educação básica atua como um fator chave para ajudar explicar a renda média dos municípios do Estado de Goiás. Portanto, não tão distante do trabalho de </w:t>
      </w:r>
      <w:bookmarkStart w:id="8" w:name="_Hlk81465816"/>
      <w:r>
        <w:rPr>
          <w:rFonts w:ascii="Times New Roman" w:hAnsi="Times New Roman"/>
        </w:rPr>
        <w:t>Samarcos Neto (2013)</w:t>
      </w:r>
      <w:bookmarkEnd w:id="8"/>
      <w:r>
        <w:rPr>
          <w:rFonts w:ascii="Times New Roman" w:hAnsi="Times New Roman"/>
        </w:rPr>
        <w:t xml:space="preserve"> que buscou analisar os efeitos da escolaridade na renda com dados do Estado de Goiás e do Distrito Federal. No qual, usando instrumental econométrico com os dados da PNAD de 2009 baseado na equação minceriana, verificou-se que o nível de escolaridade impacta positivamente na renda dos grupos de Goiás e do Distrito Federal.</w:t>
      </w:r>
    </w:p>
    <w:p>
      <w:pPr>
        <w:pStyle w:val="Normal"/>
        <w:spacing w:lineRule="auto" w:line="360" w:before="0" w:after="240"/>
        <w:ind w:firstLine="907"/>
        <w:jc w:val="both"/>
        <w:rPr/>
      </w:pPr>
      <w:r>
        <w:rPr>
          <w:rFonts w:ascii="Times New Roman" w:hAnsi="Times New Roman"/>
        </w:rPr>
        <w:t xml:space="preserve">Inserindo na literatura e buscando evidências que contribua para o entendimento das determinações da renda do Estado de Goiás, busca-se, com as evidências acumuladas, modelar e verificar o efeito do acesso à educação básica na renda média dos municípios goianos. Contudo, dado a importância que a agropecuária ocupa na cadeia produtiva do Estado de Goiás, principalmente, derivado da resiliência do setor proporcionado pelo seu dinamismo, o modelo do artigo recorta a amostra selecionando apenas os municípios produtores de soja. Segundo </w:t>
      </w:r>
      <w:bookmarkStart w:id="9" w:name="_Hlk81465933"/>
      <w:r>
        <w:rPr>
          <w:rFonts w:ascii="Times New Roman" w:hAnsi="Times New Roman"/>
        </w:rPr>
        <w:t>Fonseca Júnior &amp; Romanatto (2017)</w:t>
      </w:r>
      <w:bookmarkEnd w:id="9"/>
      <w:r>
        <w:rPr>
          <w:rFonts w:ascii="Times New Roman" w:hAnsi="Times New Roman"/>
        </w:rPr>
        <w:t xml:space="preserve">, a soja ocupou a maior parte dos recursos do sistema nacional de crédito rural em Goiás, sendo que nos anos de 2002 e 2012 a maior parte dos recursos no setor obteve a destinação de custeio, onde a soja respondeu por 56% e 53,5% dos recursos, respectivamente. Além disso, a soja obteve uma participação média na produção nacional nos anos de 2002, 2005 e 2010 de 12,3%, indicando a importância do setor tanto para a agropecuária goiana como no nível nacional. Assim, espera-se um efeito positivo da produção de soja, tanto no Produto Interno Bruto quanto na renda média dos municípios produtores de soja. </w:t>
      </w:r>
      <w:r>
        <w:rPr>
          <w:rFonts w:ascii="Times New Roman" w:hAnsi="Times New Roman"/>
          <w:color w:val="000000"/>
        </w:rPr>
        <w:t>Levando em consideração essa preponderância dos produtores de soja assinalado na literatura, como estratégia de estimação o trabalho selecionou apenas os produtores de soja, pois, assim, capta os efeitos da cadeia produtiva da soja na renda – isolando um dos possíveis aumentos da renda que não seria explicado pelas variáveis independentes do modelo estimado via Mínimos Quadrados Generalizados.</w:t>
      </w:r>
    </w:p>
    <w:p>
      <w:pPr>
        <w:pStyle w:val="Normal"/>
        <w:spacing w:lineRule="auto" w:line="360" w:before="0" w:after="240"/>
        <w:rPr>
          <w:b/>
          <w:b/>
          <w:bCs/>
        </w:rPr>
      </w:pPr>
      <w:r>
        <w:rPr>
          <w:b/>
          <w:bCs/>
        </w:rPr>
        <w:t>3. Estratégia de estimação e Modelo Econométrico</w:t>
      </w:r>
    </w:p>
    <w:p>
      <w:pPr>
        <w:pStyle w:val="Normal"/>
        <w:spacing w:lineRule="auto" w:line="360" w:before="0" w:after="240"/>
        <w:ind w:firstLine="850"/>
        <w:jc w:val="both"/>
        <w:rPr/>
      </w:pPr>
      <w:r>
        <w:rPr>
          <w:rFonts w:ascii="Times New Roman" w:hAnsi="Times New Roman"/>
          <w:color w:val="000000"/>
        </w:rPr>
        <w:t xml:space="preserve">Com a efetivação do teste de </w:t>
      </w:r>
      <w:bookmarkStart w:id="10" w:name="_Hlk81466029"/>
      <w:r>
        <w:rPr>
          <w:rFonts w:ascii="Times New Roman" w:hAnsi="Times New Roman"/>
          <w:color w:val="000000"/>
        </w:rPr>
        <w:t>Hausman (1978)</w:t>
      </w:r>
      <w:bookmarkEnd w:id="10"/>
      <w:r>
        <w:rPr>
          <w:rFonts w:ascii="Times New Roman" w:hAnsi="Times New Roman"/>
          <w:color w:val="000000"/>
        </w:rPr>
        <w:t>, como normalmente recomendado na literatura, constatou-se que o modelo de dados em painel com efeito aleatório é o mais indicado para o presente trabalho (</w:t>
      </w:r>
      <w:bookmarkStart w:id="11" w:name="_Hlk81466070"/>
      <w:r>
        <w:rPr>
          <w:rFonts w:ascii="Times New Roman" w:hAnsi="Times New Roman"/>
          <w:color w:val="000000"/>
        </w:rPr>
        <w:t>WOODRIDGE, 2007</w:t>
      </w:r>
      <w:bookmarkEnd w:id="11"/>
      <w:r>
        <w:rPr>
          <w:rFonts w:ascii="Times New Roman" w:hAnsi="Times New Roman"/>
          <w:color w:val="000000"/>
        </w:rPr>
        <w:t xml:space="preserve">, p. 441). Como ressalta </w:t>
      </w:r>
      <w:bookmarkStart w:id="12" w:name="_Hlk81466082"/>
      <w:r>
        <w:rPr>
          <w:rStyle w:val="Nfase"/>
          <w:rFonts w:ascii="Times New Roman" w:hAnsi="Times New Roman"/>
          <w:i w:val="false"/>
          <w:color w:val="000000"/>
        </w:rPr>
        <w:t>Dhrymes (2013</w:t>
      </w:r>
      <w:bookmarkEnd w:id="12"/>
      <w:r>
        <w:rPr>
          <w:rStyle w:val="Nfase"/>
          <w:rFonts w:ascii="Times New Roman" w:hAnsi="Times New Roman"/>
          <w:i w:val="false"/>
          <w:color w:val="000000"/>
        </w:rPr>
        <w:t xml:space="preserve">, p. 336), modelos de dados em painel requer certo cuidado com a notação. Sendo assim, busca-se expor o modelo a seguir com a notação convencional como segue: </w:t>
      </w:r>
    </w:p>
    <w:p>
      <w:pPr>
        <w:pStyle w:val="Normal"/>
        <w:tabs>
          <w:tab w:val="clear" w:pos="720"/>
          <w:tab w:val="left" w:pos="9214" w:leader="none"/>
        </w:tabs>
        <w:spacing w:lineRule="auto" w:line="360" w:before="0" w:after="240"/>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it</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itk</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r>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w:t>
      </w:r>
      <w:r>
        <w:rPr/>
        <w:t xml:space="preserve">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p>
    <w:p>
      <w:pPr>
        <w:pStyle w:val="Normal"/>
        <w:tabs>
          <w:tab w:val="clear" w:pos="720"/>
          <w:tab w:val="left" w:pos="9214" w:leader="none"/>
        </w:tabs>
        <w:spacing w:lineRule="auto" w:line="360" w:before="0" w:after="240"/>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it</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itk</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it</m:t>
            </m:r>
          </m:sub>
        </m:sSub>
      </m:oMath>
    </w:p>
    <w:p>
      <w:pPr>
        <w:pStyle w:val="Normal"/>
        <w:spacing w:lineRule="auto" w:line="360" w:before="0" w:after="240"/>
        <w:rPr/>
      </w:pPr>
      <w:r>
        <w:rPr/>
        <w:t xml:space="preserve">em que:  </w:t>
      </w:r>
      <w:r>
        <w:rPr/>
      </w:r>
      <m:oMath xmlns:m="http://schemas.openxmlformats.org/officeDocument/2006/math">
        <m:sSub>
          <m:e>
            <m:r>
              <w:rPr>
                <w:rFonts w:ascii="Cambria Math" w:hAnsi="Cambria Math"/>
              </w:rPr>
              <m:t xml:space="preserve">w</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it</m:t>
            </m:r>
          </m:sub>
        </m:sSub>
      </m:oMath>
    </w:p>
    <w:p>
      <w:pPr>
        <w:pStyle w:val="Normal"/>
        <w:spacing w:lineRule="auto" w:line="360" w:before="0" w:after="240"/>
        <w:ind w:firstLine="850"/>
        <w:jc w:val="both"/>
        <w:rPr/>
      </w:pPr>
      <w:r>
        <w:rPr>
          <w:rFonts w:ascii="Times New Roman" w:hAnsi="Times New Roman"/>
        </w:rPr>
        <w:t xml:space="preserve">No qual, </w:t>
      </w:r>
      <w:r>
        <w:rPr>
          <w:rFonts w:ascii="Times New Roman" w:hAnsi="Times New Roman"/>
          <w:i/>
          <w:iCs/>
        </w:rPr>
        <w:t>n</w:t>
      </w:r>
      <w:r>
        <w:rPr>
          <w:rFonts w:ascii="Times New Roman" w:hAnsi="Times New Roman"/>
        </w:rPr>
        <w:t xml:space="preserve"> é o número de unidades do corte transversal e T é o número de períodos. Por sua vez, β</w:t>
      </w:r>
      <w:r>
        <w:rPr>
          <w:rFonts w:ascii="Times New Roman" w:hAnsi="Times New Roman"/>
          <w:vertAlign w:val="subscript"/>
        </w:rPr>
        <w:t xml:space="preserve">0 </w:t>
      </w:r>
      <w:r>
        <w:rPr>
          <w:rFonts w:ascii="Times New Roman" w:hAnsi="Times New Roman"/>
        </w:rPr>
        <w:t>representa o valor médio dos interceptos e β</w:t>
      </w:r>
      <w:r>
        <w:rPr>
          <w:rFonts w:ascii="Times New Roman" w:hAnsi="Times New Roman"/>
          <w:vertAlign w:val="subscript"/>
        </w:rPr>
        <w:t xml:space="preserve">1k </w:t>
      </w:r>
      <w:r>
        <w:rPr>
          <w:rFonts w:ascii="Times New Roman" w:hAnsi="Times New Roman"/>
        </w:rPr>
        <w:t>são os parâmetros para as k variáveis explicativas do modelo. Observe que w</w:t>
      </w:r>
      <w:r>
        <w:rPr>
          <w:rFonts w:ascii="Times New Roman" w:hAnsi="Times New Roman"/>
          <w:vertAlign w:val="subscript"/>
        </w:rPr>
        <w:t xml:space="preserve">it </w:t>
      </w:r>
      <w:r>
        <w:rPr>
          <w:rFonts w:ascii="Times New Roman" w:hAnsi="Times New Roman"/>
        </w:rPr>
        <w:t>representa o termo de erro composto, isto é, o componente específico das unidades de corte transversal (ε</w:t>
      </w:r>
      <w:r>
        <w:rPr>
          <w:rFonts w:ascii="Times New Roman" w:hAnsi="Times New Roman"/>
          <w:vertAlign w:val="subscript"/>
        </w:rPr>
        <w:t>it</w:t>
      </w:r>
      <w:r>
        <w:rPr>
          <w:rFonts w:ascii="Times New Roman" w:hAnsi="Times New Roman"/>
        </w:rPr>
        <w:t>) e o erro combinado da série temporal e corte transversal (termo idiossincrático) variando ao longo do tempo e de acordo com as unidades de corte transversal (μ</w:t>
      </w:r>
      <w:r>
        <w:rPr>
          <w:rFonts w:ascii="Times New Roman" w:hAnsi="Times New Roman"/>
          <w:vertAlign w:val="subscript"/>
        </w:rPr>
        <w:t>i</w:t>
      </w:r>
      <w:r>
        <w:rPr>
          <w:rFonts w:ascii="Times New Roman" w:hAnsi="Times New Roman"/>
        </w:rPr>
        <w:t xml:space="preserve">). Como bem lembra </w:t>
      </w:r>
      <w:bookmarkStart w:id="13" w:name="_Hlk81466522"/>
      <w:r>
        <w:rPr>
          <w:rFonts w:ascii="Times New Roman" w:hAnsi="Times New Roman"/>
        </w:rPr>
        <w:t>Gujarati &amp; Porter (2011</w:t>
      </w:r>
      <w:bookmarkEnd w:id="13"/>
      <w:r>
        <w:rPr>
          <w:rFonts w:ascii="Times New Roman" w:hAnsi="Times New Roman"/>
        </w:rPr>
        <w:t xml:space="preserve">, p. 599), por possuir termo de erro composto, o modelo normalmente é conhecido como modelo de componentes de erros (MCE). Ressaltando que, diferente do modelo em painel com efeito fixo, os efeitos individuais </w:t>
      </w:r>
      <w:r>
        <w:rPr>
          <w:rFonts w:ascii="Times New Roman" w:hAnsi="Times New Roman"/>
          <w:color w:val="000000"/>
        </w:rPr>
        <w:t>e os erros são variáveis aleatórias, sendo que o termo de erro ε</w:t>
      </w:r>
      <w:r>
        <w:rPr>
          <w:rFonts w:ascii="Times New Roman" w:hAnsi="Times New Roman"/>
          <w:color w:val="000000"/>
          <w:vertAlign w:val="subscript"/>
        </w:rPr>
        <w:t xml:space="preserve">it </w:t>
      </w:r>
      <w:r>
        <w:rPr>
          <w:rFonts w:ascii="Times New Roman" w:hAnsi="Times New Roman"/>
          <w:color w:val="000000"/>
        </w:rPr>
        <w:t>representa o desvio aleatório dos interceptos individuais com relação ao valor médio dos interceptos.</w:t>
      </w:r>
    </w:p>
    <w:p>
      <w:pPr>
        <w:pStyle w:val="Normal"/>
        <w:spacing w:lineRule="auto" w:line="360" w:before="0" w:after="240"/>
        <w:ind w:firstLine="850"/>
        <w:jc w:val="both"/>
        <w:rPr>
          <w:rFonts w:ascii="Times New Roman" w:hAnsi="Times New Roman"/>
          <w:color w:val="000000"/>
        </w:rPr>
      </w:pPr>
      <w:r>
        <w:rPr>
          <w:rFonts w:ascii="Times New Roman" w:hAnsi="Times New Roman"/>
          <w:color w:val="000000"/>
        </w:rPr>
        <w:t>Além do modelo de dados em painel com efeito aleatório assumir como pressuposto que os efeitos não observados são independentes e não correlacionados com as variáveis explicativas, assume-se também que: os termos ε</w:t>
      </w:r>
      <w:r>
        <w:rPr>
          <w:rFonts w:ascii="Times New Roman" w:hAnsi="Times New Roman"/>
          <w:color w:val="000000"/>
          <w:vertAlign w:val="subscript"/>
        </w:rPr>
        <w:t>it</w:t>
      </w:r>
      <w:r>
        <w:rPr>
          <w:rFonts w:ascii="Times New Roman" w:hAnsi="Times New Roman"/>
          <w:color w:val="000000"/>
        </w:rPr>
        <w:t xml:space="preserve"> e μ</w:t>
      </w:r>
      <w:r>
        <w:rPr>
          <w:rFonts w:ascii="Times New Roman" w:hAnsi="Times New Roman"/>
          <w:color w:val="000000"/>
          <w:vertAlign w:val="subscript"/>
        </w:rPr>
        <w:t>i</w:t>
      </w:r>
      <w:r>
        <w:rPr>
          <w:rFonts w:ascii="Times New Roman" w:hAnsi="Times New Roman"/>
          <w:color w:val="000000"/>
        </w:rPr>
        <w:t xml:space="preserve"> têm média zero e variância constante, são não correlacionados entre si ou com as variáveis explicativas do modelo e com as unidades de corte transversal e da série temporal. Por consequência, w</w:t>
      </w:r>
      <w:r>
        <w:rPr>
          <w:rFonts w:ascii="Times New Roman" w:hAnsi="Times New Roman"/>
          <w:color w:val="000000"/>
          <w:vertAlign w:val="subscript"/>
        </w:rPr>
        <w:t xml:space="preserve">it </w:t>
      </w:r>
      <w:r>
        <w:rPr>
          <w:rFonts w:ascii="Times New Roman" w:hAnsi="Times New Roman"/>
          <w:color w:val="000000"/>
        </w:rPr>
        <w:t>não é correlacionado com quaisquer variáveis explicativas do modelo. Assim temos:</w:t>
      </w:r>
    </w:p>
    <w:p>
      <w:pPr>
        <w:pStyle w:val="Normal"/>
        <w:spacing w:lineRule="auto" w:line="360" w:before="0" w:after="240"/>
        <w:jc w:val="center"/>
        <w:rPr>
          <w:rFonts w:ascii="Times New Roman" w:hAnsi="Times New Roman"/>
        </w:rPr>
      </w:pPr>
      <w:r>
        <w:rPr/>
      </w:r>
      <m:oMath xmlns:m="http://schemas.openxmlformats.org/officeDocument/2006/math">
        <m:sSub>
          <m:e>
            <m:r>
              <w:rPr>
                <w:rFonts w:ascii="Cambria Math" w:hAnsi="Cambria Math"/>
              </w:rPr>
              <m:t xml:space="preserve">ε</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ε</m:t>
                </m:r>
              </m:sub>
              <m:sup>
                <m:r>
                  <w:rPr>
                    <w:rFonts w:ascii="Cambria Math" w:hAnsi="Cambria Math"/>
                  </w:rPr>
                  <m:t xml:space="preserve">2</m:t>
                </m:r>
              </m:sup>
            </m:sSubSup>
          </m:e>
        </m:d>
      </m:oMath>
      <w:r>
        <w:rPr>
          <w:rFonts w:ascii="Times New Roman" w:hAnsi="Times New Roman"/>
        </w:rPr>
        <w:t xml:space="preserve"> </w:t>
      </w:r>
      <w:r>
        <w:rPr>
          <w:rFonts w:ascii="Times New Roman" w:hAnsi="Times New Roman"/>
        </w:rPr>
        <w:t xml:space="preserve">e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r>
                  <w:rPr>
                    <w:rFonts w:ascii="Cambria Math" w:hAnsi="Cambria Math"/>
                  </w:rPr>
                  <m:t xml:space="preserve">ε</m:t>
                </m:r>
              </m:sub>
              <m:sup>
                <m:r>
                  <w:rPr>
                    <w:rFonts w:ascii="Cambria Math" w:hAnsi="Cambria Math"/>
                  </w:rPr>
                  <m:t xml:space="preserve">2</m:t>
                </m:r>
              </m:sup>
            </m:sSubSup>
          </m:e>
        </m:d>
      </m:oMath>
    </w:p>
    <w:p>
      <w:pPr>
        <w:pStyle w:val="Normal"/>
        <w:spacing w:lineRule="auto" w:line="360" w:before="0" w:after="240"/>
        <w:jc w:val="center"/>
        <w:rPr>
          <w:rFonts w:ascii="Times New Roman" w:hAnsi="Times New Roman"/>
          <w:color w:val="000000"/>
        </w:rPr>
      </w:pP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ε</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it</m:t>
                </m:r>
              </m:sub>
            </m:sSub>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ε</m:t>
                </m:r>
              </m:e>
              <m:sub>
                <m:r>
                  <w:rPr>
                    <w:rFonts w:ascii="Cambria Math" w:hAnsi="Cambria Math"/>
                  </w:rPr>
                  <m:t xml:space="preserve">i</m:t>
                </m:r>
              </m:sub>
            </m:sSub>
            <m:sSub>
              <m:e>
                <m:r>
                  <w:rPr>
                    <w:rFonts w:ascii="Cambria Math" w:hAnsi="Cambria Math"/>
                  </w:rPr>
                  <m:t xml:space="preserve">ε</m:t>
                </m:r>
              </m:e>
              <m:sub>
                <m:r>
                  <w:rPr>
                    <w:rFonts w:ascii="Cambria Math" w:hAnsi="Cambria Math"/>
                  </w:rPr>
                  <m:t xml:space="preserve">j</m:t>
                </m:r>
              </m:sub>
            </m:sSub>
          </m:e>
        </m:d>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p>
    <w:p>
      <w:pPr>
        <w:pStyle w:val="Normal"/>
        <w:spacing w:lineRule="auto" w:line="360" w:before="0" w:after="240"/>
        <w:jc w:val="center"/>
        <w:rPr>
          <w:rFonts w:ascii="Times New Roman" w:hAnsi="Times New Roman"/>
          <w:color w:val="000000"/>
        </w:rPr>
      </w:pP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μ</m:t>
                </m:r>
              </m:e>
              <m:sub>
                <m:r>
                  <w:rPr>
                    <w:rFonts w:ascii="Cambria Math" w:hAnsi="Cambria Math"/>
                  </w:rPr>
                  <m:t xml:space="preserve">it</m:t>
                </m:r>
              </m:sub>
            </m:sSub>
            <m:sSub>
              <m:e>
                <m:r>
                  <w:rPr>
                    <w:rFonts w:ascii="Cambria Math" w:hAnsi="Cambria Math"/>
                  </w:rPr>
                  <m:t xml:space="preserve">μ</m:t>
                </m:r>
              </m:e>
              <m:sub>
                <m:r>
                  <w:rPr>
                    <w:rFonts w:ascii="Cambria Math" w:hAnsi="Cambria Math"/>
                  </w:rPr>
                  <m:t xml:space="preserve">is</m:t>
                </m:r>
              </m:sub>
            </m:sSub>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μ</m:t>
                </m:r>
              </m:e>
              <m:sub>
                <m:r>
                  <w:rPr>
                    <w:rFonts w:ascii="Cambria Math" w:hAnsi="Cambria Math"/>
                  </w:rPr>
                  <m:t xml:space="preserve">ij</m:t>
                </m:r>
              </m:sub>
            </m:sSub>
            <m:sSub>
              <m:e>
                <m:r>
                  <w:rPr>
                    <w:rFonts w:ascii="Cambria Math" w:hAnsi="Cambria Math"/>
                  </w:rPr>
                  <m:t xml:space="preserve">μ</m:t>
                </m:r>
              </m:e>
              <m:sub>
                <m:r>
                  <w:rPr>
                    <w:rFonts w:ascii="Cambria Math" w:hAnsi="Cambria Math"/>
                  </w:rPr>
                  <m:t xml:space="preserve">ij</m:t>
                </m:r>
              </m:sub>
            </m:sSub>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μ</m:t>
                </m:r>
              </m:e>
              <m:sub>
                <m:r>
                  <w:rPr>
                    <w:rFonts w:ascii="Cambria Math" w:hAnsi="Cambria Math"/>
                  </w:rPr>
                  <m:t xml:space="preserve">it</m:t>
                </m:r>
              </m:sub>
            </m:sSub>
            <m:sSub>
              <m:e>
                <m:r>
                  <w:rPr>
                    <w:rFonts w:ascii="Cambria Math" w:hAnsi="Cambria Math"/>
                  </w:rPr>
                  <m:t xml:space="preserve">μ</m:t>
                </m:r>
              </m:e>
              <m:sub>
                <m:r>
                  <w:rPr>
                    <w:rFonts w:ascii="Cambria Math" w:hAnsi="Cambria Math"/>
                  </w:rPr>
                  <m:t xml:space="preserve">js</m:t>
                </m:r>
              </m:sub>
            </m:sSub>
          </m:e>
        </m:d>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oMath>
    </w:p>
    <w:p>
      <w:pPr>
        <w:pStyle w:val="Normal"/>
        <w:spacing w:lineRule="auto" w:line="360" w:before="0" w:after="240"/>
        <w:ind w:firstLine="850"/>
        <w:jc w:val="both"/>
        <w:rPr>
          <w:rFonts w:ascii="Times New Roman" w:hAnsi="Times New Roman"/>
          <w:color w:val="000000"/>
        </w:rPr>
      </w:pPr>
      <w:r>
        <w:rPr>
          <w:rFonts w:ascii="Times New Roman" w:hAnsi="Times New Roman"/>
          <w:color w:val="000000"/>
        </w:rPr>
        <w:t xml:space="preserve">Assim segue-se para o componente de erro: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W</m:t>
                </m:r>
              </m:e>
              <m:sub>
                <m:r>
                  <w:rPr>
                    <w:rFonts w:ascii="Cambria Math" w:hAnsi="Cambria Math"/>
                  </w:rPr>
                  <m:t xml:space="preserve">it</m:t>
                </m:r>
              </m:sub>
            </m:sSub>
          </m:e>
        </m:d>
        <m:r>
          <w:rPr>
            <w:rFonts w:ascii="Cambria Math" w:hAnsi="Cambria Math"/>
          </w:rPr>
          <m:t xml:space="preserve">=</m:t>
        </m:r>
        <m:r>
          <w:rPr>
            <w:rFonts w:ascii="Cambria Math" w:hAnsi="Cambria Math"/>
          </w:rPr>
          <m:t xml:space="preserve">0</m:t>
        </m:r>
      </m:oMath>
      <w:r>
        <w:rPr>
          <w:rFonts w:ascii="Times New Roman" w:hAnsi="Times New Roman"/>
          <w:color w:val="000000"/>
        </w:rPr>
        <w:tab/>
        <w:t>e</w:t>
        <w:tab/>
      </w:r>
      <w:r>
        <w:rPr/>
      </w:r>
      <m:oMath xmlns:m="http://schemas.openxmlformats.org/officeDocument/2006/math">
        <m:r>
          <w:rPr>
            <w:rFonts w:ascii="Cambria Math" w:hAnsi="Cambria Math"/>
          </w:rPr>
          <m:t xml:space="preserve">var</m:t>
        </m:r>
        <m:d>
          <m:dPr>
            <m:begChr m:val="("/>
            <m:endChr m:val=")"/>
          </m:dPr>
          <m:e>
            <m:sSub>
              <m:e>
                <m:r>
                  <w:rPr>
                    <w:rFonts w:ascii="Cambria Math" w:hAnsi="Cambria Math"/>
                  </w:rPr>
                  <m:t xml:space="preserve">W</m:t>
                </m:r>
              </m:e>
              <m:sub>
                <m:r>
                  <w:rPr>
                    <w:rFonts w:ascii="Cambria Math" w:hAnsi="Cambria Math"/>
                  </w:rPr>
                  <m:t xml:space="preserve">it</m:t>
                </m:r>
              </m:sub>
            </m:sSub>
          </m:e>
        </m:d>
        <m:r>
          <w:rPr>
            <w:rFonts w:ascii="Cambria Math" w:hAnsi="Cambria Math"/>
          </w:rPr>
          <m:t xml:space="preserve">=</m:t>
        </m:r>
        <m:sSubSup>
          <m:e>
            <m:r>
              <w:rPr>
                <w:rFonts w:ascii="Cambria Math" w:hAnsi="Cambria Math"/>
              </w:rPr>
              <m:t xml:space="preserve">σ</m:t>
            </m:r>
          </m:e>
          <m:sub>
            <m:r>
              <w:rPr>
                <w:rFonts w:ascii="Cambria Math" w:hAnsi="Cambria Math"/>
              </w:rPr>
              <m:t xml:space="preserve">ε</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μ</m:t>
            </m:r>
          </m:sub>
          <m:sup>
            <m:r>
              <w:rPr>
                <w:rFonts w:ascii="Cambria Math" w:hAnsi="Cambria Math"/>
              </w:rPr>
              <m:t xml:space="preserve">2</m:t>
            </m:r>
          </m:sup>
        </m:sSubSup>
      </m:oMath>
      <w:r>
        <w:rPr>
          <w:rFonts w:ascii="Times New Roman" w:hAnsi="Times New Roman"/>
        </w:rPr>
        <w:t>.</w:t>
      </w:r>
    </w:p>
    <w:p>
      <w:pPr>
        <w:pStyle w:val="Normal"/>
        <w:spacing w:lineRule="auto" w:line="360" w:before="0" w:after="240"/>
        <w:ind w:firstLine="850"/>
        <w:jc w:val="both"/>
        <w:rPr/>
      </w:pPr>
      <w:r>
        <w:rPr>
          <w:rFonts w:ascii="Times New Roman" w:hAnsi="Times New Roman"/>
          <w:color w:val="000000"/>
        </w:rPr>
        <w:t>Não obstante, apesar do componente de erro ser homoscedástico, w</w:t>
      </w:r>
      <w:r>
        <w:rPr>
          <w:rFonts w:ascii="Times New Roman" w:hAnsi="Times New Roman"/>
          <w:color w:val="000000"/>
          <w:vertAlign w:val="subscript"/>
        </w:rPr>
        <w:t>it</w:t>
      </w:r>
      <w:r>
        <w:rPr>
          <w:rFonts w:ascii="Times New Roman" w:hAnsi="Times New Roman"/>
          <w:color w:val="000000"/>
        </w:rPr>
        <w:t xml:space="preserve"> e w</w:t>
      </w:r>
      <w:r>
        <w:rPr>
          <w:rFonts w:ascii="Times New Roman" w:hAnsi="Times New Roman"/>
          <w:color w:val="000000"/>
          <w:vertAlign w:val="subscript"/>
        </w:rPr>
        <w:t>is</w:t>
      </w:r>
      <w:r>
        <w:rPr>
          <w:rFonts w:ascii="Times New Roman" w:hAnsi="Times New Roman"/>
          <w:color w:val="000000"/>
        </w:rPr>
        <w:t xml:space="preserve"> são correlacionados. Levando em consideração a correlação, salienta </w:t>
      </w:r>
      <w:r>
        <w:rPr>
          <w:rFonts w:ascii="Times New Roman" w:hAnsi="Times New Roman"/>
        </w:rPr>
        <w:t xml:space="preserve">Gujarati &amp; Porter (2011, p. 600) que estimar o modelo via Mínimos Quadrados Ordinários gera estimadores ineficientes. Sendo a estratégia de estimação recomendada nesse caso, o método de Mínimos Quadrados Generalizados (MQG). </w:t>
      </w:r>
      <w:r>
        <w:rPr>
          <w:rFonts w:ascii="Times New Roman" w:hAnsi="Times New Roman"/>
          <w:color w:val="000000"/>
        </w:rPr>
        <w:t>Portanto, estimou-se no presente trabalho, um modelo em dados em painel com efeito aleatório via MQG. Com 105 municípios do Estado de Goiás para os anos de 2000 e 2010, ou seja, um painel curto (T&lt;N) e balanceado. Seguindo como bem lembra Woodridge (2007, p. 442): “(…) para que o procedimento tenha boas propriedades, N deve ser grande e T relativamente pequeno”. Como mencionado anteriormente, o intercepto β</w:t>
      </w:r>
      <w:r>
        <w:rPr>
          <w:rFonts w:ascii="Times New Roman" w:hAnsi="Times New Roman"/>
          <w:color w:val="000000"/>
          <w:vertAlign w:val="subscript"/>
        </w:rPr>
        <w:t xml:space="preserve">0 </w:t>
      </w:r>
      <w:r>
        <w:rPr>
          <w:rFonts w:ascii="Times New Roman" w:hAnsi="Times New Roman"/>
          <w:color w:val="000000"/>
        </w:rPr>
        <w:t>representa o valor médio de todos os interceptos. Portanto, pressupõe que os 105 municípios incluídos na amostra foram tirados de um universo maior de municípios que têm valor médio comum para o intercepto (Gujarati &amp; Porter, 2011, p. 599). Justamente por isso a seleção de apenas os produtores de soja!</w:t>
      </w:r>
    </w:p>
    <w:p>
      <w:pPr>
        <w:pStyle w:val="Normal"/>
        <w:spacing w:lineRule="auto" w:line="360" w:before="0" w:after="240"/>
        <w:ind w:firstLine="850"/>
        <w:jc w:val="both"/>
        <w:rPr>
          <w:rFonts w:ascii="Times New Roman" w:hAnsi="Times New Roman"/>
        </w:rPr>
      </w:pPr>
      <w:r>
        <w:rPr>
          <w:rFonts w:ascii="Times New Roman" w:hAnsi="Times New Roman"/>
        </w:rPr>
        <w:t>Todos os 105 municípios da amostra selecionada, contemplando todas as mesorregiões do Estado, são de municípios produtores de soja</w:t>
      </w:r>
      <w:r>
        <w:rPr>
          <w:rStyle w:val="Ncoradanotaderodap"/>
          <w:rFonts w:ascii="Times New Roman" w:hAnsi="Times New Roman"/>
        </w:rPr>
        <w:footnoteReference w:id="10"/>
      </w:r>
      <w:r>
        <w:rPr>
          <w:rFonts w:ascii="Times New Roman" w:hAnsi="Times New Roman"/>
        </w:rPr>
        <w:t>. Optar por recortar a amostra entre os produtores de soja não foi uma escolha trivial, mas uma estratégia para controlar a heterogeneidade da renda entre os municípios.</w:t>
      </w:r>
      <w:r>
        <w:rPr>
          <w:rFonts w:ascii="Times New Roman" w:hAnsi="Times New Roman"/>
          <w:color w:val="000000"/>
        </w:rPr>
        <w:t xml:space="preserve"> Espera-se que os municípios produtores de soja — dado a importância da soja na composição produtiva do Estado — tenham um maior Produto Interno Bruto (PIB). Consequentemente, espera-se maior renda média em tais municípios, pois há um repasse positivo da produção de soja que impacta na renda média dos municípios. Para controlar esse efeito na renda não explicado pelas variáveis independentes selecionadas na modelagem, um dos filtros possíveis é selecionar apenas os municípios produtores de soja, assim, obtendo os municípios com a transmissão dos efeitos da soja computados na renda. Como um controle adicional, isto é, evitando que a regressão acabe por superestimar o efeito da escolaridade na renda</w:t>
      </w:r>
      <w:r>
        <w:rPr>
          <w:rStyle w:val="Ncoradanotaderodap"/>
          <w:rFonts w:ascii="Times New Roman" w:hAnsi="Times New Roman"/>
          <w:color w:val="000000"/>
        </w:rPr>
        <w:footnoteReference w:id="11"/>
      </w:r>
      <w:r>
        <w:rPr>
          <w:rFonts w:ascii="Times New Roman" w:hAnsi="Times New Roman"/>
          <w:color w:val="000000"/>
        </w:rPr>
        <w:t xml:space="preserve">. </w:t>
      </w:r>
      <w:r>
        <w:rPr>
          <w:rFonts w:ascii="Times New Roman" w:hAnsi="Times New Roman"/>
        </w:rPr>
        <w:t xml:space="preserve">Com esse </w:t>
      </w:r>
      <w:r>
        <w:rPr>
          <w:rFonts w:ascii="Times New Roman" w:hAnsi="Times New Roman"/>
          <w:i/>
          <w:iCs/>
        </w:rPr>
        <w:t>background</w:t>
      </w:r>
      <w:r>
        <w:rPr>
          <w:rFonts w:ascii="Times New Roman" w:hAnsi="Times New Roman"/>
        </w:rPr>
        <w:t xml:space="preserve">, especificou-se o modelo em </w:t>
      </w:r>
      <w:r>
        <w:rPr>
          <w:rFonts w:ascii="Times New Roman" w:hAnsi="Times New Roman"/>
          <w:i/>
          <w:iCs/>
        </w:rPr>
        <w:t>double-log</w:t>
      </w:r>
      <w:r>
        <w:rPr>
          <w:rFonts w:ascii="Times New Roman" w:hAnsi="Times New Roman"/>
        </w:rPr>
        <w:t xml:space="preserve"> (doravante, log-log), isto é, aplicando logaritmo natural em todas as variáveis do modelo, assim, gerando coeficientes com as elasticidades </w:t>
      </w:r>
      <w:r>
        <w:rPr>
          <w:rFonts w:ascii="Times New Roman" w:hAnsi="Times New Roman"/>
          <w:color w:val="000000"/>
        </w:rPr>
        <w:t>— captando a variação percentual na variável dependente dado uma pequena variação percentual nas k variáveis explicativas. Em sua forma funcional o modelo especificado em log-log pode ser dado da seguinte forma:</w:t>
      </w:r>
    </w:p>
    <w:p>
      <w:pPr>
        <w:pStyle w:val="Normal"/>
        <w:spacing w:lineRule="auto" w:line="360" w:before="0" w:after="240"/>
        <w:jc w:val="center"/>
        <w:rPr>
          <w:rFonts w:ascii="Times New Roman" w:hAnsi="Times New Roman"/>
        </w:rPr>
      </w:pPr>
      <w:r>
        <w:rPr/>
      </w:r>
      <m:oMath xmlns:m="http://schemas.openxmlformats.org/officeDocument/2006/math">
        <m:sSub>
          <m:e>
            <m:r>
              <w:rPr>
                <w:rFonts w:ascii="Cambria Math" w:hAnsi="Cambria Math"/>
              </w:rPr>
              <m:t xml:space="preserve">LnRenda</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ln</m:t>
        </m:r>
        <m:sSub>
          <m:e>
            <m:r>
              <w:rPr>
                <w:rFonts w:ascii="Cambria Math" w:hAnsi="Cambria Math"/>
              </w:rPr>
              <m:t xml:space="preserve">Escolaridade</m:t>
            </m:r>
          </m:e>
          <m:sub>
            <m:r>
              <w:rPr>
                <w:rFonts w:ascii="Cambria Math" w:hAnsi="Cambria Math"/>
              </w:rPr>
              <m:t xml:space="preserve">1</m:t>
            </m:r>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ln</m:t>
        </m:r>
        <m:sSub>
          <m:e>
            <m:r>
              <w:rPr>
                <w:rFonts w:ascii="Cambria Math" w:hAnsi="Cambria Math"/>
              </w:rPr>
              <m:t xml:space="preserve">Trabalho</m:t>
            </m:r>
          </m:e>
          <m:sub>
            <m:r>
              <w:rPr>
                <w:rFonts w:ascii="Cambria Math" w:hAnsi="Cambria Math"/>
              </w:rPr>
              <m:t xml:space="preserve">2</m:t>
            </m:r>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ln</m:t>
        </m:r>
        <m:sSub>
          <m:e>
            <m:r>
              <w:rPr>
                <w:rFonts w:ascii="Cambria Math" w:hAnsi="Cambria Math"/>
              </w:rPr>
              <m:t xml:space="preserve">Agricultura</m:t>
            </m:r>
          </m:e>
          <m:sub>
            <m:r>
              <w:rPr>
                <w:rFonts w:ascii="Cambria Math" w:hAnsi="Cambria Math"/>
              </w:rPr>
              <m:t xml:space="preserve">3</m:t>
            </m:r>
            <m:r>
              <w:rPr>
                <w:rFonts w:ascii="Cambria Math" w:hAnsi="Cambria Math"/>
              </w:rPr>
              <m:t xml:space="preserve">it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it</m:t>
            </m:r>
          </m:sub>
        </m:sSub>
      </m:oMath>
    </w:p>
    <w:p>
      <w:pPr>
        <w:pStyle w:val="Normal"/>
        <w:spacing w:lineRule="auto" w:line="360" w:before="0" w:after="240"/>
        <w:jc w:val="center"/>
        <w:rPr>
          <w:rFonts w:ascii="Times New Roman" w:hAnsi="Times New Roman"/>
        </w:rPr>
      </w:pPr>
      <w:r>
        <w:rPr/>
      </w:r>
    </w:p>
    <w:p>
      <w:pPr>
        <w:pStyle w:val="Normal"/>
        <w:spacing w:lineRule="auto" w:line="360" w:before="0" w:after="240"/>
        <w:ind w:firstLine="850"/>
        <w:jc w:val="both"/>
        <w:rPr/>
      </w:pPr>
      <w:r>
        <w:rPr>
          <w:rFonts w:ascii="Times New Roman" w:hAnsi="Times New Roman"/>
        </w:rPr>
        <w:t>A variável renda representa a razão entre o somatório da renda de todos os indivíduos residentes em domicílios particulares permanentes e o número total desses indivíduos (R$ 2010, a preço constante). Por sua vez, a variável escolaridade representa a porcentagem de indivíduos com 18 anos ou mais com o ensino fundamental completo</w:t>
      </w:r>
      <w:r>
        <w:rPr>
          <w:rStyle w:val="Ncoradanotaderodap"/>
          <w:rFonts w:ascii="Times New Roman" w:hAnsi="Times New Roman"/>
        </w:rPr>
        <w:footnoteReference w:id="12"/>
      </w:r>
      <w:r>
        <w:rPr>
          <w:rFonts w:ascii="Times New Roman" w:hAnsi="Times New Roman"/>
        </w:rPr>
        <w:t xml:space="preserve">, considerado no trabalho como o “acesso à educação básica”. O ponto axial do modelo é justamente visualizar a relação entre o acesso à educação básica e renda média dos municípios. Como mencionado exaustivamente, há uma ampla gama de evidências empíricas indicando o papel fundamental da educação na formação da renda. Portanto, espera-se que o coeficiente da escolaridade retorne positiva e estatisticamente significativo. Por sua vez, a variável trabalho representa a razão entre o número de empregados de 18 anos ou mais de idade com carteira de trabalho assinada e o número total de pessoas ocupadas nessa faixa etária multiplicado por 100; em outras palavras, a variável capta o trabalho formal. É uma variável de controle que busca captar o efeito do mercado de trabalho na renda. Espera-se que o coeficiente da variável trabalho seja positivo e estatisticamente significante. A última variável explicativa, agricultura, representa uma </w:t>
      </w:r>
      <w:r>
        <w:rPr>
          <w:rFonts w:ascii="Times New Roman" w:hAnsi="Times New Roman"/>
          <w:i/>
          <w:iCs/>
        </w:rPr>
        <w:t>proxy</w:t>
      </w:r>
      <w:r>
        <w:rPr>
          <w:rFonts w:ascii="Times New Roman" w:hAnsi="Times New Roman"/>
        </w:rPr>
        <w:t xml:space="preserve"> para produção agrícola dada a produção de soja por área colhida. Para a sua construção, foi utilizada a quantidade de soja produzida em toneladas (t) dividido pela área colhida em hectares (ha) multiplicado por 100. Como segue:</w:t>
      </w:r>
    </w:p>
    <w:p>
      <w:pPr>
        <w:pStyle w:val="Normal"/>
        <w:spacing w:lineRule="auto" w:line="360" w:before="0" w:after="240"/>
        <w:jc w:val="center"/>
        <w:rPr>
          <w:rFonts w:ascii="Times New Roman" w:hAnsi="Times New Roman"/>
        </w:rPr>
      </w:pPr>
      <w:r>
        <w:rPr/>
      </w:r>
      <m:oMath xmlns:m="http://schemas.openxmlformats.org/officeDocument/2006/math">
        <m:r>
          <w:rPr>
            <w:rFonts w:ascii="Cambria Math" w:hAnsi="Cambria Math"/>
          </w:rPr>
          <m:t xml:space="preserve">ProduçãoAgrícola</m:t>
        </m:r>
        <m:r>
          <w:rPr>
            <w:rFonts w:ascii="Cambria Math" w:hAnsi="Cambria Math"/>
          </w:rPr>
          <m:t xml:space="preserve">=</m:t>
        </m:r>
        <m:f>
          <m:num>
            <m:r>
              <w:rPr>
                <w:rFonts w:ascii="Cambria Math" w:hAnsi="Cambria Math"/>
              </w:rPr>
              <m:t xml:space="preserve">ProduçãodeSoja</m:t>
            </m:r>
          </m:num>
          <m:den>
            <m:r>
              <w:rPr>
                <w:rFonts w:ascii="Cambria Math" w:hAnsi="Cambria Math"/>
              </w:rPr>
              <m:t xml:space="preserve">ÁreaColhida</m:t>
            </m:r>
          </m:den>
        </m:f>
        <m:r>
          <w:rPr>
            <w:rFonts w:ascii="Cambria Math" w:hAnsi="Cambria Math"/>
          </w:rPr>
          <m:t xml:space="preserve">∗</m:t>
        </m:r>
        <m:r>
          <w:rPr>
            <w:rFonts w:ascii="Cambria Math" w:hAnsi="Cambria Math"/>
          </w:rPr>
          <m:t xml:space="preserve">100</m:t>
        </m:r>
      </m:oMath>
    </w:p>
    <w:p>
      <w:pPr>
        <w:pStyle w:val="Normal"/>
        <w:spacing w:lineRule="auto" w:line="360" w:before="0" w:after="240"/>
        <w:ind w:firstLine="850"/>
        <w:jc w:val="both"/>
        <w:rPr>
          <w:rFonts w:ascii="Times New Roman" w:hAnsi="Times New Roman"/>
        </w:rPr>
      </w:pPr>
      <w:r>
        <w:rPr>
          <w:rFonts w:ascii="Times New Roman" w:hAnsi="Times New Roman"/>
        </w:rPr>
        <w:t>A proxy para produção agrícola representa outra variável de controle, pois capta não apenas a diferença produtiva entre os municípios, mas também as possíveis diferenças de produtividade, dado uma maior aplicação tecnológica ou até mesmo de diferenças topográficas, de fertilidade do solo ou de clima entre os municípios produtores de soja. Sendo que espera-se que uma maior produtividade agrícola tenha efeito positivo na renda média dos municípios produtores. A variável produção de soja não foi escolhida ao acaso, mas, como mencionado anteriormente, levando em consideração o papel preponderante do Estado de Goiás na produção de soja em nível nacional. Espera-se que o coeficiente da produção de soja seja positivo com relação a renda e estatisticamente significante. Na próxima secção, discute-se a origem e fonte dos dados utilizados no artigo.</w:t>
      </w:r>
    </w:p>
    <w:p>
      <w:pPr>
        <w:pStyle w:val="Normal"/>
        <w:spacing w:lineRule="auto" w:line="360" w:before="0" w:after="240"/>
        <w:jc w:val="both"/>
        <w:rPr>
          <w:rFonts w:ascii="Times New Roman" w:hAnsi="Times New Roman"/>
          <w:b/>
          <w:b/>
          <w:bCs/>
        </w:rPr>
      </w:pPr>
      <w:r>
        <w:rPr>
          <w:rFonts w:ascii="Times New Roman" w:hAnsi="Times New Roman"/>
          <w:b/>
          <w:bCs/>
        </w:rPr>
        <w:t>4. Dados utilizados</w:t>
      </w:r>
    </w:p>
    <w:p>
      <w:pPr>
        <w:pStyle w:val="Normal"/>
        <w:spacing w:lineRule="auto" w:line="360" w:before="0" w:after="240"/>
        <w:ind w:firstLine="850"/>
        <w:jc w:val="both"/>
        <w:rPr>
          <w:rFonts w:ascii="Times New Roman" w:hAnsi="Times New Roman"/>
        </w:rPr>
      </w:pPr>
      <w:r>
        <w:rPr>
          <w:rFonts w:ascii="Times New Roman" w:hAnsi="Times New Roman"/>
        </w:rPr>
        <w:t xml:space="preserve">Os dados utilizados na estimação do modelo são de dois bancos de dados distintos: Instituto Mauro Borges (IMB) e Atlas Brasil. As variáveis renda, escolaridade e trabalho foram extraídas do Atlas Brasil. Lembrando que os dados armazenados no reservatório do Atlas Brasil faz parte do Censo de 2000 e 2010. Por sua vez, as variáveis da quantidade produzida de soja em toneladas e de área colhida em hectares foram extraídas do IMB. Na tabela 1-a, a seguir, pode-se visualizar todos os 105 municípios selecionados para compor a amostra utilizada no modelo. Utilizou-se o software R, versão 4.1.1 com interface RStudio versão 1.4.1717 para o processamento dos dados. A seguir, na Tabela 1, pode-se visualizar o </w:t>
      </w:r>
      <w:r>
        <w:rPr>
          <w:rFonts w:ascii="Times New Roman" w:hAnsi="Times New Roman"/>
          <w:i/>
          <w:iCs/>
        </w:rPr>
        <w:t>link</w:t>
      </w:r>
      <w:r>
        <w:rPr>
          <w:rFonts w:ascii="Times New Roman" w:hAnsi="Times New Roman"/>
        </w:rPr>
        <w:t xml:space="preserve"> de acesso para os respectivos bancos de dados.</w:t>
      </w:r>
    </w:p>
    <w:p>
      <w:pPr>
        <w:pStyle w:val="Normal"/>
        <w:spacing w:lineRule="auto" w:line="360" w:before="0" w:after="240"/>
        <w:ind w:firstLine="85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67300" cy="14001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067300" cy="1400175"/>
                    </a:xfrm>
                    <a:prstGeom prst="rect">
                      <a:avLst/>
                    </a:prstGeom>
                  </pic:spPr>
                </pic:pic>
              </a:graphicData>
            </a:graphic>
          </wp:anchor>
        </w:drawing>
      </w:r>
    </w:p>
    <w:p>
      <w:pPr>
        <w:pStyle w:val="Normal"/>
        <w:spacing w:lineRule="auto" w:line="360" w:before="0" w:after="240"/>
        <w:ind w:hanging="0"/>
        <w:jc w:val="both"/>
        <w:rPr/>
      </w:pPr>
      <w:r>
        <w:rPr/>
        <w:drawing>
          <wp:anchor behindDoc="0" distT="0" distB="0" distL="0" distR="0" simplePos="0" locked="0" layoutInCell="1" allowOverlap="1" relativeHeight="9">
            <wp:simplePos x="0" y="0"/>
            <wp:positionH relativeFrom="column">
              <wp:posOffset>512445</wp:posOffset>
            </wp:positionH>
            <wp:positionV relativeFrom="paragraph">
              <wp:posOffset>-190500</wp:posOffset>
            </wp:positionV>
            <wp:extent cx="5095875" cy="7343775"/>
            <wp:effectExtent l="0" t="0" r="0" b="0"/>
            <wp:wrapSquare wrapText="largest"/>
            <wp:docPr id="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9" descr=""/>
                    <pic:cNvPicPr>
                      <a:picLocks noChangeAspect="1" noChangeArrowheads="1"/>
                    </pic:cNvPicPr>
                  </pic:nvPicPr>
                  <pic:blipFill>
                    <a:blip r:embed="rId3"/>
                    <a:stretch>
                      <a:fillRect/>
                    </a:stretch>
                  </pic:blipFill>
                  <pic:spPr bwMode="auto">
                    <a:xfrm>
                      <a:off x="0" y="0"/>
                      <a:ext cx="5095875" cy="7343775"/>
                    </a:xfrm>
                    <a:prstGeom prst="rect">
                      <a:avLst/>
                    </a:prstGeom>
                  </pic:spPr>
                </pic:pic>
              </a:graphicData>
            </a:graphic>
          </wp:anchor>
        </w:drawing>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r>
    </w:p>
    <w:p>
      <w:pPr>
        <w:pStyle w:val="Normal"/>
        <w:spacing w:lineRule="auto" w:line="360" w:before="0" w:after="240"/>
        <w:jc w:val="both"/>
        <w:rPr>
          <w:rFonts w:ascii="Times New Roman" w:hAnsi="Times New Roman"/>
          <w:b/>
          <w:b/>
          <w:bCs/>
          <w:color w:val="000000"/>
        </w:rPr>
      </w:pPr>
      <w:r>
        <w:rPr>
          <w:rFonts w:ascii="Times New Roman" w:hAnsi="Times New Roman"/>
          <w:b/>
          <w:bCs/>
          <w:color w:val="000000"/>
        </w:rPr>
        <w:t>5. Análise Exploratória</w:t>
      </w:r>
    </w:p>
    <w:p>
      <w:pPr>
        <w:pStyle w:val="Normal"/>
        <w:spacing w:lineRule="auto" w:line="360" w:before="0" w:after="240"/>
        <w:ind w:firstLine="907"/>
        <w:jc w:val="both"/>
        <w:rPr>
          <w:rFonts w:ascii="Times New Roman" w:hAnsi="Times New Roman"/>
        </w:rPr>
      </w:pPr>
      <w:r>
        <w:rPr>
          <w:rFonts w:ascii="Times New Roman" w:hAnsi="Times New Roman"/>
          <w:color w:val="000000"/>
        </w:rPr>
        <w:t xml:space="preserve">Busca-se, na presente secção, apresentar uma rápida análise exploratória e descritiva referente ao objeto de estudo abordado no artigo, isto é, visualizar o panorama educacional e de renda média para os municípios do Estado de Goiás. Primeiro, observa-se o panorama incluindo todos os municípios do Estado para os anos de 2000 e 2010, posteriormente, busca-se visualizar e comparar apenas com os 105 municípios produtores de soja. Inicia-se a seguir, no gráfico 1, em um painel de </w:t>
      </w:r>
      <w:r>
        <w:rPr>
          <w:rFonts w:ascii="Times New Roman" w:hAnsi="Times New Roman"/>
          <w:i/>
          <w:iCs/>
          <w:color w:val="000000"/>
        </w:rPr>
        <w:t>boxplots</w:t>
      </w:r>
      <w:r>
        <w:rPr>
          <w:rFonts w:ascii="Times New Roman" w:hAnsi="Times New Roman"/>
          <w:color w:val="000000"/>
        </w:rPr>
        <w:t>, visualizando a renda média para todos os municípios goianos segmentando por mesorregiões para os anos de 2000 e 2010.</w:t>
      </w:r>
    </w:p>
    <w:p>
      <w:pPr>
        <w:pStyle w:val="Normal"/>
        <w:ind w:firstLine="907"/>
        <w:jc w:val="center"/>
        <w:rPr>
          <w:rFonts w:ascii="Times New Roman" w:hAnsi="Times New Roman"/>
          <w:color w:val="000000"/>
        </w:rPr>
      </w:pPr>
      <w:r>
        <w:drawing>
          <wp:anchor behindDoc="0" distT="0" distB="0" distL="0" distR="0" simplePos="0" locked="0" layoutInCell="1" allowOverlap="1" relativeHeight="4">
            <wp:simplePos x="0" y="0"/>
            <wp:positionH relativeFrom="column">
              <wp:posOffset>-43815</wp:posOffset>
            </wp:positionH>
            <wp:positionV relativeFrom="paragraph">
              <wp:posOffset>194310</wp:posOffset>
            </wp:positionV>
            <wp:extent cx="6256020" cy="325945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256020" cy="3259455"/>
                    </a:xfrm>
                    <a:prstGeom prst="rect">
                      <a:avLst/>
                    </a:prstGeom>
                  </pic:spPr>
                </pic:pic>
              </a:graphicData>
            </a:graphic>
          </wp:anchor>
        </w:drawing>
      </w:r>
      <w:r>
        <w:rPr>
          <w:rFonts w:ascii="Times New Roman" w:hAnsi="Times New Roman"/>
          <w:color w:val="000000"/>
        </w:rPr>
        <w:t>G</w:t>
      </w:r>
      <w:r>
        <w:rPr>
          <w:rFonts w:ascii="Times New Roman" w:hAnsi="Times New Roman"/>
          <w:color w:val="000000"/>
        </w:rPr>
        <w:t xml:space="preserve">ráfico 1 – Painel de </w:t>
      </w:r>
      <w:r>
        <w:rPr>
          <w:rFonts w:ascii="Times New Roman" w:hAnsi="Times New Roman"/>
          <w:i/>
          <w:iCs/>
          <w:color w:val="000000"/>
        </w:rPr>
        <w:t>Boxplots</w:t>
      </w:r>
      <w:r>
        <w:rPr>
          <w:rFonts w:ascii="Times New Roman" w:hAnsi="Times New Roman"/>
          <w:color w:val="000000"/>
        </w:rPr>
        <w:t xml:space="preserve"> para a renda dos municípios goianos</w:t>
      </w:r>
    </w:p>
    <w:p>
      <w:pPr>
        <w:pStyle w:val="Normal"/>
        <w:jc w:val="both"/>
        <w:rPr>
          <w:rFonts w:ascii="Times New Roman" w:hAnsi="Times New Roman"/>
          <w:color w:val="000000"/>
        </w:rPr>
      </w:pPr>
      <w:r>
        <w:rPr>
          <w:rFonts w:ascii="Times New Roman" w:hAnsi="Times New Roman"/>
          <w:color w:val="000000"/>
        </w:rPr>
        <w:t>Fonte: Elaborado pelos autores.</w:t>
      </w:r>
    </w:p>
    <w:p>
      <w:pPr>
        <w:pStyle w:val="Normal"/>
        <w:spacing w:lineRule="auto" w:line="360" w:before="0" w:after="240"/>
        <w:ind w:firstLine="907"/>
        <w:jc w:val="both"/>
        <w:rPr>
          <w:rFonts w:ascii="Times New Roman" w:hAnsi="Times New Roman"/>
          <w:color w:val="000000"/>
        </w:rPr>
      </w:pPr>
      <w:r>
        <w:rPr>
          <w:rFonts w:ascii="Times New Roman" w:hAnsi="Times New Roman"/>
          <w:color w:val="000000"/>
        </w:rPr>
      </w:r>
    </w:p>
    <w:p>
      <w:pPr>
        <w:pStyle w:val="Normal"/>
        <w:spacing w:lineRule="auto" w:line="360" w:before="0" w:after="240"/>
        <w:ind w:firstLine="907"/>
        <w:jc w:val="both"/>
        <w:rPr>
          <w:rFonts w:ascii="Times New Roman" w:hAnsi="Times New Roman"/>
        </w:rPr>
      </w:pPr>
      <w:r>
        <w:rPr>
          <w:rFonts w:ascii="Times New Roman" w:hAnsi="Times New Roman"/>
          <w:color w:val="000000"/>
        </w:rPr>
        <w:t>Observe que tanto para o ano de 2000 quanto para 2010, a região Sul Goiana indicou a maior renda média: R$ 469 e R$ 680, respectivamente. Em outras palavras: os municípios localizados na região Sul do Estado apresentaram, em média, as maiores rendas. Por sua vez, a mesorregião Centro Goiana ocupava a segunda posição em 2000, posteriormente, perdendo a posição para o Noroeste Goiano. Da mesma forma, o Leste Goiano ocupava a posição de menor renda em média, posteriormente, perdendo a posição para os municípios localizados na região Norte do Estado. Note que, como padrão, os pontos extremos (fora dos</w:t>
      </w:r>
      <w:r>
        <w:rPr>
          <w:rFonts w:ascii="Times New Roman" w:hAnsi="Times New Roman"/>
          <w:i/>
          <w:iCs/>
          <w:color w:val="000000"/>
        </w:rPr>
        <w:t xml:space="preserve"> whiskers</w:t>
      </w:r>
      <w:r>
        <w:rPr>
          <w:rFonts w:ascii="Times New Roman" w:hAnsi="Times New Roman"/>
          <w:color w:val="000000"/>
        </w:rPr>
        <w:t xml:space="preserve">) representam os </w:t>
      </w:r>
      <w:r>
        <w:rPr>
          <w:rFonts w:ascii="Times New Roman" w:hAnsi="Times New Roman"/>
          <w:i/>
          <w:iCs/>
          <w:color w:val="000000"/>
        </w:rPr>
        <w:t>outliers</w:t>
      </w:r>
      <w:r>
        <w:rPr>
          <w:rStyle w:val="Ncoradanotaderodap"/>
          <w:rFonts w:ascii="Times New Roman" w:hAnsi="Times New Roman"/>
          <w:i/>
          <w:iCs/>
          <w:color w:val="000000"/>
        </w:rPr>
        <w:footnoteReference w:id="13"/>
      </w:r>
      <w:r>
        <w:rPr>
          <w:rFonts w:ascii="Times New Roman" w:hAnsi="Times New Roman"/>
          <w:color w:val="000000"/>
        </w:rPr>
        <w:t>. O ponto mais discrepante tanto no ano de 2000 quanto em 2010 pertence ao Centro Goiano, a saber: Goiânia. Atingindo, no ano de 2000, pouco mais de R$ 1.000,00 de renda média e, em 2010, R$ 1.348,55</w:t>
      </w:r>
      <w:r>
        <w:rPr>
          <w:rStyle w:val="Ncoradanotaderodap"/>
          <w:rFonts w:ascii="Times New Roman" w:hAnsi="Times New Roman"/>
          <w:color w:val="000000"/>
        </w:rPr>
        <w:footnoteReference w:id="14"/>
      </w:r>
      <w:r>
        <w:rPr>
          <w:rFonts w:ascii="Times New Roman" w:hAnsi="Times New Roman"/>
          <w:color w:val="000000"/>
        </w:rPr>
        <w:t xml:space="preserve">. A porcentagem de indivíduos com 18 anos ou mais com o ensino fundamental completo, isto é, com o acesso à educação básica, seguindo o comportamento semelhante a renda, pode ser visualizado a seguir no painel de </w:t>
      </w:r>
      <w:r>
        <w:rPr>
          <w:rFonts w:ascii="Times New Roman" w:hAnsi="Times New Roman"/>
          <w:i/>
          <w:iCs/>
          <w:color w:val="000000"/>
        </w:rPr>
        <w:t xml:space="preserve">boxplots </w:t>
      </w:r>
      <w:r>
        <w:rPr>
          <w:rFonts w:ascii="Times New Roman" w:hAnsi="Times New Roman"/>
          <w:color w:val="000000"/>
        </w:rPr>
        <w:t>para a escolaridade (Gráfico 2).</w:t>
      </w:r>
    </w:p>
    <w:p>
      <w:pPr>
        <w:pStyle w:val="Normal"/>
        <w:spacing w:lineRule="auto" w:line="360" w:before="0" w:after="240"/>
        <w:ind w:hanging="0"/>
        <w:jc w:val="both"/>
        <w:rPr/>
      </w:pPr>
      <w:r>
        <w:rPr/>
      </w:r>
    </w:p>
    <w:p>
      <w:pPr>
        <w:pStyle w:val="Normal"/>
        <w:spacing w:lineRule="auto" w:line="360" w:before="0" w:after="240"/>
        <w:ind w:firstLine="907"/>
        <w:jc w:val="center"/>
        <w:rPr>
          <w:rFonts w:ascii="Times New Roman" w:hAnsi="Times New Roman"/>
        </w:rPr>
      </w:pPr>
      <w:r>
        <w:rPr>
          <w:rFonts w:ascii="Times New Roman" w:hAnsi="Times New Roman"/>
          <w:color w:val="000000"/>
        </w:rPr>
        <w:t xml:space="preserve">Gráfico 2 – Painel de </w:t>
      </w:r>
      <w:r>
        <w:rPr>
          <w:rFonts w:ascii="Times New Roman" w:hAnsi="Times New Roman"/>
          <w:i/>
          <w:iCs/>
          <w:color w:val="000000"/>
        </w:rPr>
        <w:t>Boxplots</w:t>
      </w:r>
      <w:r>
        <w:rPr>
          <w:rFonts w:ascii="Times New Roman" w:hAnsi="Times New Roman"/>
          <w:color w:val="000000"/>
        </w:rPr>
        <w:t xml:space="preserve"> para a escolaridade dos municípios goianos</w:t>
      </w:r>
    </w:p>
    <w:p>
      <w:pPr>
        <w:pStyle w:val="Normal"/>
        <w:spacing w:lineRule="auto" w:line="360" w:before="0" w:after="240"/>
        <w:ind w:hanging="0"/>
        <w:jc w:val="both"/>
        <w:rPr>
          <w:rFonts w:ascii="Times New Roman" w:hAnsi="Times New Roman"/>
          <w:color w:val="000000"/>
        </w:rPr>
      </w:pPr>
      <w:r>
        <w:drawing>
          <wp:anchor behindDoc="0" distT="0" distB="0" distL="0" distR="0" simplePos="0" locked="0" layoutInCell="1" allowOverlap="1" relativeHeight="3">
            <wp:simplePos x="0" y="0"/>
            <wp:positionH relativeFrom="column">
              <wp:posOffset>-47625</wp:posOffset>
            </wp:positionH>
            <wp:positionV relativeFrom="paragraph">
              <wp:posOffset>103505</wp:posOffset>
            </wp:positionV>
            <wp:extent cx="6120130" cy="318833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120130" cy="3188335"/>
                    </a:xfrm>
                    <a:prstGeom prst="rect">
                      <a:avLst/>
                    </a:prstGeom>
                  </pic:spPr>
                </pic:pic>
              </a:graphicData>
            </a:graphic>
          </wp:anchor>
        </w:drawing>
      </w:r>
      <w:r>
        <w:rPr>
          <w:rFonts w:ascii="Times New Roman" w:hAnsi="Times New Roman"/>
          <w:color w:val="000000"/>
        </w:rPr>
        <w:t>F</w:t>
      </w:r>
      <w:r>
        <w:rPr>
          <w:rFonts w:ascii="Times New Roman" w:hAnsi="Times New Roman"/>
          <w:color w:val="000000"/>
        </w:rPr>
        <w:t>onte: Elaborado pelos autores.</w:t>
      </w:r>
    </w:p>
    <w:p>
      <w:pPr>
        <w:pStyle w:val="Normal"/>
        <w:spacing w:lineRule="auto" w:line="360" w:before="0" w:after="240"/>
        <w:ind w:firstLine="907"/>
        <w:jc w:val="both"/>
        <w:rPr>
          <w:rFonts w:ascii="Times New Roman" w:hAnsi="Times New Roman"/>
        </w:rPr>
      </w:pPr>
      <w:r>
        <w:rPr>
          <w:rFonts w:ascii="Times New Roman" w:hAnsi="Times New Roman"/>
          <w:color w:val="000000"/>
        </w:rPr>
        <w:t>O destaque, novamente, fica com a região Sul do Estado: ocupando maior acesso à educação básica em ambos os anos. Por sua vez, a região leste que ocupava a última posição em 2000, assim como na renda, perdeu posição, porém, no caso da educação, para a região Noroeste — região que, paradoxalmente, ocupava a segunda posição na renda média em 2010.</w:t>
      </w:r>
    </w:p>
    <w:p>
      <w:pPr>
        <w:pStyle w:val="Normal"/>
        <w:spacing w:lineRule="auto" w:line="360" w:before="0" w:after="240"/>
        <w:ind w:firstLine="907"/>
        <w:jc w:val="both"/>
        <w:rPr>
          <w:rFonts w:ascii="Times New Roman" w:hAnsi="Times New Roman"/>
        </w:rPr>
      </w:pPr>
      <w:r>
        <w:rPr>
          <w:rFonts w:ascii="Times New Roman" w:hAnsi="Times New Roman"/>
          <w:color w:val="000000"/>
        </w:rPr>
        <w:t>Olhando, agora, no agregado: a renda média do Estado de Goiás passou de aproximadamente R$ 386,36 para R$ 582,80. Indicando uma taxa de crescimento de 50,84%. Enquanto o acesso à educação básica, como definido, retornou uma taxa de crescimento de 66,84%. Cabe ressaltar que, não obstante, qualquer correlação extraída das relações não implica em uma causalidade entre aumento da escolaridade e o aumento da renda. Primeiro, correlação não implica causalidade, em segundo, a identificação do sentido de causalidade entre renda e escolaridade não é trivial: tanto o maior acesso à educação (escolaridade) pode causar aumento da renda quanto maior renda pode causar maior acesso à educação</w:t>
      </w:r>
      <w:r>
        <w:rPr>
          <w:rStyle w:val="Ncoradanotaderodap"/>
          <w:rFonts w:ascii="Times New Roman" w:hAnsi="Times New Roman"/>
          <w:color w:val="000000"/>
        </w:rPr>
        <w:footnoteReference w:id="15"/>
      </w:r>
      <w:r>
        <w:rPr>
          <w:rFonts w:ascii="Times New Roman" w:hAnsi="Times New Roman"/>
          <w:color w:val="000000"/>
        </w:rPr>
        <w:t>. Em terceiro, pode-se encontrar problemas de endogeneidade</w:t>
      </w:r>
      <w:r>
        <w:rPr>
          <w:rStyle w:val="Ncoradanotaderodap"/>
          <w:rFonts w:ascii="Times New Roman" w:hAnsi="Times New Roman"/>
          <w:color w:val="000000"/>
        </w:rPr>
        <w:footnoteReference w:id="16"/>
      </w:r>
      <w:r>
        <w:rPr>
          <w:rFonts w:ascii="Times New Roman" w:hAnsi="Times New Roman"/>
          <w:color w:val="000000"/>
        </w:rPr>
        <w:t>. Pode-se inferir de forma significante que, apesar das discrepâncias entre mesorregiões, ocorreu um deslocamento positivo de ambas variáveis (renda e acesso à educação básica) na mesma direção. Diga-se de passagem, extraindo a mediana, para amenizar problemas com pontos discrepantes ou extremos, não altera a alta taxa de crescimento registrada tanto na renda quanto no acesso à educação básica do Estado de Goiás.</w:t>
      </w:r>
    </w:p>
    <w:p>
      <w:pPr>
        <w:pStyle w:val="Normal"/>
        <w:spacing w:lineRule="auto" w:line="360" w:before="0" w:after="240"/>
        <w:ind w:firstLine="850"/>
        <w:jc w:val="both"/>
        <w:rPr>
          <w:rFonts w:ascii="Times New Roman" w:hAnsi="Times New Roman"/>
        </w:rPr>
      </w:pPr>
      <w:r>
        <w:rPr>
          <w:rFonts w:ascii="Times New Roman" w:hAnsi="Times New Roman"/>
        </w:rPr>
        <w:t>O Estado de Goiás no agregado, composto por 246 municípios, obteve R$ 582,80 de renda média no ano de 2010. Contudo, isolando apenas os municípios não produtores de soja, encontra-se uma renda média de R$ 548,82. Por sua vez, isolando apenas os produtores de soja, encontra-se uma renda média de R$ 628,44. A mediana da renda indica a mesma linha de diferença: R$ 530,37 contra R$ 628,14 dos produtores. Seja no nível agregado ou desagregado por mesorregiões, os dados são unânimes: há uma visível diferença de renda média entre municípios produtores e não produtores de soja, exceto para a mesorregião Sul do Estado de Goiás. Na tabela 2 a seguir, pode-se visualizar o panorama da diferenciação de renda entre produtores, não produtores e no agregado geral.</w:t>
      </w:r>
    </w:p>
    <w:p>
      <w:pPr>
        <w:pStyle w:val="Normal"/>
        <w:spacing w:lineRule="auto" w:line="360" w:before="0" w:after="240"/>
        <w:ind w:firstLine="85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19650" cy="4467225"/>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6"/>
                    <a:stretch>
                      <a:fillRect/>
                    </a:stretch>
                  </pic:blipFill>
                  <pic:spPr bwMode="auto">
                    <a:xfrm>
                      <a:off x="0" y="0"/>
                      <a:ext cx="4819650" cy="4467225"/>
                    </a:xfrm>
                    <a:prstGeom prst="rect">
                      <a:avLst/>
                    </a:prstGeom>
                  </pic:spPr>
                </pic:pic>
              </a:graphicData>
            </a:graphic>
          </wp:anchor>
        </w:drawing>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t>Com exceção da mesorregião localizada no Sul do Estado, os municípios produtores de soja obtiveram renda média mais elevada. Repetindo o padrão, a mediana da renda segue na mesma direção. Constatando a visível diferença entre municípios produtores e não produtores, finaliza-se, visualizando a distribuição espacial da renda e escolaridade entre os municípios produtores. Como representado nos dados da tabela anterior, no painel de mapas (Figura 1), indica uma visível diferença de renda e escolaridade entre as regiões Goianas, principalmente, com a preponderância da região Sul do Estado.</w:t>
      </w:r>
    </w:p>
    <w:p>
      <w:pPr>
        <w:pStyle w:val="Normal"/>
        <w:jc w:val="center"/>
        <w:rPr>
          <w:rFonts w:ascii="Times New Roman" w:hAnsi="Times New Roman"/>
        </w:rPr>
      </w:pPr>
      <w:r>
        <w:rPr>
          <w:rFonts w:ascii="Times New Roman" w:hAnsi="Times New Roman"/>
        </w:rPr>
        <w:t>Figura 1 – Renda e Educação para os municípios produtores de soja</w:t>
      </w:r>
    </w:p>
    <w:p>
      <w:pPr>
        <w:pStyle w:val="Normal"/>
        <w:jc w:val="center"/>
        <w:rPr>
          <w:rFonts w:ascii="Times New Roman" w:hAnsi="Times New Roman"/>
        </w:rPr>
      </w:pPr>
      <w:r>
        <w:rPr/>
        <w:drawing>
          <wp:inline distT="0" distB="0" distL="0" distR="0">
            <wp:extent cx="6080760" cy="5010785"/>
            <wp:effectExtent l="0" t="0" r="0" b="0"/>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7"/>
                    <a:stretch>
                      <a:fillRect/>
                    </a:stretch>
                  </pic:blipFill>
                  <pic:spPr bwMode="auto">
                    <a:xfrm>
                      <a:off x="0" y="0"/>
                      <a:ext cx="6080760" cy="5010785"/>
                    </a:xfrm>
                    <a:prstGeom prst="rect">
                      <a:avLst/>
                    </a:prstGeom>
                  </pic:spPr>
                </pic:pic>
              </a:graphicData>
            </a:graphic>
          </wp:inline>
        </w:drawing>
      </w:r>
    </w:p>
    <w:p>
      <w:pPr>
        <w:pStyle w:val="Normal"/>
        <w:spacing w:lineRule="auto" w:line="360" w:before="0" w:after="240"/>
        <w:rPr>
          <w:rFonts w:ascii="Times New Roman" w:hAnsi="Times New Roman"/>
        </w:rPr>
      </w:pPr>
      <w:r>
        <w:rPr>
          <w:rFonts w:ascii="Times New Roman" w:hAnsi="Times New Roman"/>
        </w:rPr>
        <w:t>Fonte: Elaborado pelos autores.</w:t>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b/>
          <w:b/>
          <w:bCs/>
        </w:rPr>
      </w:pPr>
      <w:r>
        <w:rPr/>
      </w:r>
    </w:p>
    <w:p>
      <w:pPr>
        <w:pStyle w:val="Normal"/>
        <w:spacing w:lineRule="auto" w:line="360" w:before="0" w:after="240"/>
        <w:jc w:val="both"/>
        <w:rPr>
          <w:rFonts w:ascii="Times New Roman" w:hAnsi="Times New Roman"/>
          <w:b/>
          <w:b/>
          <w:bCs/>
        </w:rPr>
      </w:pPr>
      <w:r>
        <w:rPr/>
      </w:r>
    </w:p>
    <w:p>
      <w:pPr>
        <w:pStyle w:val="Normal"/>
        <w:spacing w:lineRule="auto" w:line="360" w:before="0" w:after="240"/>
        <w:jc w:val="both"/>
        <w:rPr>
          <w:rFonts w:ascii="Times New Roman" w:hAnsi="Times New Roman"/>
          <w:b/>
          <w:b/>
          <w:bCs/>
        </w:rPr>
      </w:pPr>
      <w:r>
        <w:rPr>
          <w:rFonts w:ascii="Times New Roman" w:hAnsi="Times New Roman"/>
          <w:b/>
          <w:bCs/>
        </w:rPr>
        <w:t>6.Resultados</w:t>
      </w:r>
    </w:p>
    <w:p>
      <w:pPr>
        <w:pStyle w:val="Normal"/>
        <w:spacing w:lineRule="auto" w:line="360" w:before="0" w:after="240"/>
        <w:ind w:firstLine="850"/>
        <w:jc w:val="both"/>
        <w:rPr>
          <w:rFonts w:ascii="Times New Roman" w:hAnsi="Times New Roman"/>
          <w:b/>
          <w:b/>
          <w:bCs/>
        </w:rPr>
      </w:pPr>
      <w:r>
        <w:rPr>
          <w:rFonts w:ascii="Times New Roman" w:hAnsi="Times New Roman"/>
        </w:rPr>
        <w:t xml:space="preserve">Na Tabela 3 pode-se visualizar os resultados obtidos com o modelo de dados em painel com efeito aleatório. Primeiro, observa-se que todas as variáveis explicativas do modelo mostram-se estatisticamente significativas </w:t>
      </w:r>
      <w:r>
        <w:rPr>
          <w:rFonts w:ascii="Times New Roman" w:hAnsi="Times New Roman"/>
          <w:color w:val="000000"/>
        </w:rPr>
        <w:t>—</w:t>
      </w:r>
      <w:r>
        <w:rPr>
          <w:rFonts w:ascii="Times New Roman" w:hAnsi="Times New Roman"/>
        </w:rPr>
        <w:t xml:space="preserve"> seja a 5% ou a 1%. Como esperado, e seguindo as evidências acumuladas na literatura referenciada, a variável educação mostrou-se significativa. A ampliação do acesso à educação básica, isto é, o aumento da porcentagem de indivíduos com 18 anos ou mais com o fundamental completo, mostrou-se positiva e significativa para explicar a renda média. Ao ponto do seu coeficiente sobrepujar as variáveis de controle: produção agrícola e mercado de trabalho. Por sua vez, o R² ajustado retornou relativamente moderado em 0,71.</w:t>
      </w:r>
    </w:p>
    <w:p>
      <w:pPr>
        <w:pStyle w:val="Normal"/>
        <w:spacing w:before="0" w:after="240"/>
        <w:jc w:val="center"/>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905375" cy="3333750"/>
            <wp:effectExtent l="0" t="0" r="0" b="0"/>
            <wp:wrapSquare wrapText="largest"/>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4905375" cy="3333750"/>
                    </a:xfrm>
                    <a:prstGeom prst="rect">
                      <a:avLst/>
                    </a:prstGeom>
                  </pic:spPr>
                </pic:pic>
              </a:graphicData>
            </a:graphic>
          </wp:anchor>
        </w:drawing>
      </w:r>
    </w:p>
    <w:p>
      <w:pPr>
        <w:pStyle w:val="Normal"/>
        <w:spacing w:before="0" w:after="240"/>
        <w:jc w:val="center"/>
        <w:rPr>
          <w:rFonts w:ascii="Times New Roman" w:hAnsi="Times New Roman"/>
        </w:rPr>
      </w:pPr>
      <w:r>
        <w:rPr>
          <w:rFonts w:ascii="Times New Roman" w:hAnsi="Times New Roman"/>
        </w:rPr>
      </w:r>
    </w:p>
    <w:p>
      <w:pPr>
        <w:pStyle w:val="Normal"/>
        <w:spacing w:before="0" w:after="240"/>
        <w:jc w:val="center"/>
        <w:rPr>
          <w:rFonts w:ascii="Times New Roman" w:hAnsi="Times New Roman"/>
        </w:rPr>
      </w:pPr>
      <w:r>
        <w:rPr>
          <w:rFonts w:ascii="Times New Roman" w:hAnsi="Times New Roman"/>
        </w:rPr>
      </w:r>
    </w:p>
    <w:p>
      <w:pPr>
        <w:pStyle w:val="Normal"/>
        <w:spacing w:before="0" w:after="240"/>
        <w:jc w:val="center"/>
        <w:rPr>
          <w:rFonts w:ascii="Times New Roman" w:hAnsi="Times New Roman"/>
        </w:rPr>
      </w:pPr>
      <w:r>
        <w:rPr>
          <w:rFonts w:ascii="Times New Roman" w:hAnsi="Times New Roman"/>
        </w:rPr>
      </w:r>
    </w:p>
    <w:p>
      <w:pPr>
        <w:pStyle w:val="Normal"/>
        <w:spacing w:before="0" w:after="240"/>
        <w:jc w:val="center"/>
        <w:rPr>
          <w:rFonts w:ascii="Times New Roman" w:hAnsi="Times New Roman"/>
        </w:rPr>
      </w:pPr>
      <w:r>
        <w:rPr>
          <w:rFonts w:ascii="Times New Roman" w:hAnsi="Times New Roman"/>
        </w:rPr>
      </w:r>
    </w:p>
    <w:p>
      <w:pPr>
        <w:pStyle w:val="Normal"/>
        <w:spacing w:before="0" w:after="240"/>
        <w:jc w:val="center"/>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240"/>
        <w:ind w:left="0" w:right="0" w:firstLine="850"/>
        <w:jc w:val="both"/>
        <w:rPr>
          <w:rFonts w:ascii="Times New Roman" w:hAnsi="Times New Roman"/>
        </w:rPr>
      </w:pPr>
      <w:r>
        <w:rPr>
          <w:rFonts w:ascii="Times New Roman" w:hAnsi="Times New Roman"/>
        </w:rPr>
        <w:t>Como as variáveis foram estimadas em logaritmo natural, os coeficientes captam as elasticidades. Interpretando os coeficientes nota-se que: com o aumento de 1% na porcentagem da variável escolaridade, em média, aumenta em 0,58% a renda média. Representando um feito relativamente pequeno da escolaridade na renda, não obstante, note que representa o maior coeficiente entre as variáveis. Em segundo, apenas o ensino fundamental não representa de fato um aumento tão significativo da escolaridade (com elasticidade renda-educação). Apenas um acréscimo. Assim, representando um acréscimo de maior qualificação do fator trabalho. Principalmente, levando em consideração a expansão do acesso à educação da população rural ou do campo.</w:t>
      </w:r>
    </w:p>
    <w:p>
      <w:pPr>
        <w:pStyle w:val="Normal"/>
        <w:spacing w:lineRule="auto" w:line="360" w:before="0" w:after="240"/>
        <w:ind w:firstLine="850"/>
        <w:jc w:val="both"/>
        <w:rPr>
          <w:rFonts w:ascii="Times New Roman" w:hAnsi="Times New Roman"/>
        </w:rPr>
      </w:pPr>
      <w:r>
        <w:rPr>
          <w:rFonts w:ascii="Times New Roman" w:hAnsi="Times New Roman"/>
        </w:rPr>
        <w:t xml:space="preserve">A variável trabalho, por sua vez, representando a formalização do mercado de trabalho, indica que o aumento de 1% na razão entre o número de mão de obra com carteira de trabalho assinada e o número total de mão de obra na mesma faixa etária, em média, aumenta em 0,08% a renda média. Por fim, a variável de controle fundamental para o modelo: a produção de soja. Na mesma linha dos coeficientes anteriores, indicou que com o aumento de 1% na produção de soja por área colhida, em média, aumenta aproximadamente em </w:t>
      </w:r>
      <w:r>
        <w:rPr>
          <w:rFonts w:ascii="Times New Roman" w:hAnsi="Times New Roman"/>
        </w:rPr>
        <w:t>0,</w:t>
      </w:r>
      <w:r>
        <w:rPr>
          <w:rFonts w:ascii="Times New Roman" w:hAnsi="Times New Roman"/>
        </w:rPr>
        <w:t>20% a renda média. Fundamental, dado a importância da soja na cadeia produtiva do Estado de Goiás – como ressaltado anteriormente. Note que mesmo selecionando apenas os municípios produtores se soja, isto é, evitando um efeito que não seria inteiramente explicado pelas variáveis explicativas caso utilizasse todos os municípios ou apenas os municípios não produtores, a soja retornou positiva</w:t>
      </w:r>
      <w:r>
        <w:rPr>
          <w:rStyle w:val="Ncoradanotaderodap"/>
          <w:rFonts w:ascii="Times New Roman" w:hAnsi="Times New Roman"/>
        </w:rPr>
        <w:footnoteReference w:id="17"/>
      </w:r>
      <w:r>
        <w:rPr>
          <w:rFonts w:ascii="Times New Roman" w:hAnsi="Times New Roman"/>
        </w:rPr>
        <w:t xml:space="preserve">. Isto é, mesmo com as regiões selecionadas indicando uma presença do efeito produtivo da soja, a produção por área colhida retornou positiva e estatisticamente positiva. Assim, como mencionado, a variável escolaridade sobrepujou todas as variáveis de controle. Ademais, aceitando as hipóteses levantadas ao longo do trabalho. Na secção seguinte, discute-se os testes efetuados para verificar a consistência, especificação e pressupostos do modelo. Principalmente, dado a não utilização de variáveis instrumentais para contornar possíveis problemas de endogeneidade da escolaridade. </w:t>
      </w:r>
    </w:p>
    <w:p>
      <w:pPr>
        <w:pStyle w:val="Normal"/>
        <w:spacing w:lineRule="auto" w:line="360" w:before="0" w:after="240"/>
        <w:jc w:val="both"/>
        <w:rPr>
          <w:rFonts w:ascii="Times New Roman" w:hAnsi="Times New Roman"/>
          <w:color w:val="000000"/>
        </w:rPr>
      </w:pPr>
      <w:r>
        <w:rPr>
          <w:rFonts w:ascii="Times New Roman" w:hAnsi="Times New Roman"/>
          <w:color w:val="000000"/>
        </w:rPr>
      </w:r>
    </w:p>
    <w:p>
      <w:pPr>
        <w:pStyle w:val="Normal"/>
        <w:spacing w:lineRule="auto" w:line="360" w:before="0" w:after="240"/>
        <w:jc w:val="both"/>
        <w:rPr>
          <w:rFonts w:ascii="Times New Roman" w:hAnsi="Times New Roman"/>
          <w:b/>
          <w:b/>
          <w:bCs/>
        </w:rPr>
      </w:pPr>
      <w:r>
        <w:rPr>
          <w:rFonts w:ascii="Times New Roman" w:hAnsi="Times New Roman"/>
          <w:b/>
          <w:bCs/>
        </w:rPr>
        <w:t>7.Testes de consistência, especificação e pressupostos do modelo</w:t>
      </w:r>
    </w:p>
    <w:p>
      <w:pPr>
        <w:pStyle w:val="Normal"/>
        <w:spacing w:lineRule="auto" w:line="360" w:before="0" w:after="240"/>
        <w:ind w:firstLine="850"/>
        <w:jc w:val="both"/>
        <w:rPr>
          <w:rFonts w:ascii="Times New Roman" w:hAnsi="Times New Roman"/>
        </w:rPr>
      </w:pPr>
      <w:r>
        <w:rPr>
          <w:rFonts w:ascii="Times New Roman" w:hAnsi="Times New Roman"/>
        </w:rPr>
        <w:t>Na Tabela 4 pode-se visualizar de forma sintetizada os resultados de todos os testes aplicados no modelo. Para verificar a consistência, a especificação e pressupostos do modelo estimado, utilizou-se os inúmeros testes recomendados na literatura</w:t>
      </w:r>
      <w:r>
        <w:rPr>
          <w:rStyle w:val="Ncoradanotaderodap"/>
          <w:rFonts w:ascii="Times New Roman" w:hAnsi="Times New Roman"/>
        </w:rPr>
        <w:footnoteReference w:id="18"/>
      </w:r>
      <w:r>
        <w:rPr>
          <w:rFonts w:ascii="Times New Roman" w:hAnsi="Times New Roman"/>
        </w:rPr>
        <w:t>. Aplicou-se o teste de Breusch &amp; Pagan (198</w:t>
      </w:r>
      <w:bookmarkStart w:id="14" w:name="_Hlk81481703"/>
      <w:bookmarkEnd w:id="14"/>
      <w:r>
        <w:rPr>
          <w:rFonts w:ascii="Times New Roman" w:hAnsi="Times New Roman"/>
        </w:rPr>
        <w:t xml:space="preserve">0) baseado no multiplicador de Lagrange para a escolha adequada entre o modelo de efeitos aleatórios ou </w:t>
      </w:r>
      <w:r>
        <w:rPr>
          <w:rFonts w:ascii="Times New Roman" w:hAnsi="Times New Roman"/>
          <w:i/>
          <w:iCs/>
        </w:rPr>
        <w:t xml:space="preserve">pooled </w:t>
      </w:r>
      <w:r>
        <w:rPr>
          <w:rFonts w:ascii="Times New Roman" w:hAnsi="Times New Roman"/>
        </w:rPr>
        <w:t>(modelo agrupado). E o teste de Hausman (197</w:t>
      </w:r>
      <w:bookmarkStart w:id="15" w:name="_Hlk81481721"/>
      <w:bookmarkEnd w:id="15"/>
      <w:r>
        <w:rPr>
          <w:rFonts w:ascii="Times New Roman" w:hAnsi="Times New Roman"/>
        </w:rPr>
        <w:t xml:space="preserve">8) na escolha entre o modelo de efeitos fixos ou efeitos aleatórios (1978). Como mencionado na secção de estratégia de estimação e modelo econométrico, os testes indicaram o modelo de efeitos aleatórios como o mais indicado. Primeiro, o teste de Breusch &amp; Pagan rejeitou a hipótese nula, indicando a preferência dos efeitos aleatórios com relação ao modelo agrupado; em segundo, o teste de </w:t>
      </w:r>
      <w:r>
        <w:rPr>
          <w:rFonts w:ascii="Times New Roman" w:hAnsi="Times New Roman"/>
          <w:i/>
          <w:iCs/>
        </w:rPr>
        <w:t>Hausman</w:t>
      </w:r>
      <w:r>
        <w:rPr>
          <w:rFonts w:ascii="Times New Roman" w:hAnsi="Times New Roman"/>
        </w:rPr>
        <w:t>, não rejeitou a hipótese nula. Consequentemente, adotando o modelo com efeitos aleatórios!</w:t>
      </w:r>
    </w:p>
    <w:p>
      <w:pPr>
        <w:pStyle w:val="Normal"/>
        <w:spacing w:lineRule="auto" w:line="360" w:before="0" w:after="240"/>
        <w:ind w:firstLine="85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774065</wp:posOffset>
            </wp:positionH>
            <wp:positionV relativeFrom="paragraph">
              <wp:posOffset>52070</wp:posOffset>
            </wp:positionV>
            <wp:extent cx="4667250" cy="421957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4667250" cy="4219575"/>
                    </a:xfrm>
                    <a:prstGeom prst="rect">
                      <a:avLst/>
                    </a:prstGeom>
                  </pic:spPr>
                </pic:pic>
              </a:graphicData>
            </a:graphic>
          </wp:anchor>
        </w:drawing>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spacing w:lineRule="auto" w:line="360" w:before="0" w:after="240"/>
        <w:ind w:hanging="0"/>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240"/>
        <w:ind w:left="0" w:right="0" w:firstLine="850"/>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240"/>
        <w:ind w:left="0" w:right="0" w:firstLine="850"/>
        <w:jc w:val="both"/>
        <w:rPr>
          <w:rFonts w:ascii="Times New Roman" w:hAnsi="Times New Roman"/>
        </w:rPr>
      </w:pPr>
      <w:r>
        <w:rPr>
          <w:rFonts w:ascii="Times New Roman" w:hAnsi="Times New Roman"/>
        </w:rPr>
      </w:r>
    </w:p>
    <w:p>
      <w:pPr>
        <w:pStyle w:val="Normal"/>
        <w:widowControl/>
        <w:suppressAutoHyphens w:val="true"/>
        <w:bidi w:val="0"/>
        <w:spacing w:lineRule="auto" w:line="360" w:before="0" w:after="240"/>
        <w:ind w:left="0" w:right="0" w:firstLine="850"/>
        <w:jc w:val="both"/>
        <w:rPr>
          <w:rFonts w:ascii="Times New Roman" w:hAnsi="Times New Roman"/>
        </w:rPr>
      </w:pPr>
      <w:r>
        <w:rPr>
          <w:rFonts w:ascii="Times New Roman" w:hAnsi="Times New Roman"/>
        </w:rPr>
        <w:t>Na sequência, aplicou-se o teste de dependência transversal (</w:t>
      </w:r>
      <w:r>
        <w:rPr>
          <w:rFonts w:ascii="Times New Roman" w:hAnsi="Times New Roman"/>
          <w:i/>
          <w:iCs/>
        </w:rPr>
        <w:t>cross-sectional</w:t>
      </w:r>
      <w:r>
        <w:rPr>
          <w:rFonts w:ascii="Times New Roman" w:hAnsi="Times New Roman"/>
        </w:rPr>
        <w:t>) baseado em Pesaran (2015), para verificar a correlação dos resíduos entre a unidades de corte transversal. O teste rejeitou a hipótese nula, isto é, os resíduos através dos indivíduos não estão correlacionados. É fundamental que os resíduos tenham distribuição normal, dito isso aplicou-se três testes diferentes para verificar a normalidade dos resíduos, a saber: teste de Shapiro-Wilk, Kolmogorov-Smirnov, Anderson-Darling</w:t>
      </w:r>
      <w:r>
        <w:rPr>
          <w:rStyle w:val="Ncoradanotaderodap"/>
          <w:rFonts w:ascii="Times New Roman" w:hAnsi="Times New Roman"/>
        </w:rPr>
        <w:footnoteReference w:id="19"/>
      </w:r>
      <w:r>
        <w:rPr>
          <w:rFonts w:ascii="Times New Roman" w:hAnsi="Times New Roman"/>
        </w:rPr>
        <w:t xml:space="preserve">. Todos rejeitaram a hipótese de não normalidade dos resíduos, isto é, os resíduos têm normalidade. Aceitado a normalidade dos resíduos, efetuou-se o teste de Breusch-Pagan (1979) para testar a homoscedasticidade dos resíduos: rejeitando a hipótese nula, isto é, os resíduos são homoscedásticos. Concluindo a miríade de testes, aplicou o teste de Breusch-Godfrey/Wooldrige (Breusch, 1978) para verificar a existência de correlação serial na série. Retornando a aceitação da hipótese nula, isto é, não há correlação serial. Portanto, não encontrando nenhuma incongruência ou violação de pressupostos básicos. </w:t>
      </w:r>
    </w:p>
    <w:p>
      <w:pPr>
        <w:pStyle w:val="Normal"/>
        <w:spacing w:lineRule="auto" w:line="360" w:before="0" w:after="240"/>
        <w:ind w:firstLine="850"/>
        <w:jc w:val="both"/>
        <w:rPr>
          <w:rFonts w:ascii="Times New Roman" w:hAnsi="Times New Roman"/>
        </w:rPr>
      </w:pPr>
      <w:r>
        <w:rPr>
          <w:rFonts w:ascii="Times New Roman" w:hAnsi="Times New Roman"/>
        </w:rPr>
        <w:t xml:space="preserve">De qualquer modo, tal ponto levanta a questão da não utilização de variáveis instrumentais para contornar possíveis problemas de endogeneidade. A maior dificuldade na utilização de variáveis instrumentais, é justamente a disponibilidade de instrumentos robustos. E justamente por isso, a não aplicação de variáveis instrumentais no presente trabalho. Assim, com correlação baixíssima entre as variáveis explicativas com os resíduos e com distribuição normal dos resíduos, descarta-se (assumindo uma hipótese forte) o problema da endogeneidade. Deixando, assim, espaço aberto para pesquisas futuras aplicarem modelos com variáveis instrumentais. A seguir, pode-se visualizar a distribuição dos resíduos (Gráfico </w:t>
      </w:r>
      <w:r>
        <w:rPr>
          <w:rFonts w:ascii="Times New Roman" w:hAnsi="Times New Roman"/>
        </w:rPr>
        <w:t>4</w:t>
      </w:r>
      <w:r>
        <w:rPr>
          <w:rFonts w:ascii="Times New Roman" w:hAnsi="Times New Roman"/>
        </w:rPr>
        <w:t>). Como verificado pelos testes estatísticos anteriormente, os resíduos apresentam normalidade.</w:t>
      </w:r>
    </w:p>
    <w:p>
      <w:pPr>
        <w:pStyle w:val="Normal"/>
        <w:spacing w:lineRule="auto" w:line="360" w:before="0" w:after="240"/>
        <w:ind w:firstLine="850"/>
        <w:jc w:val="both"/>
        <w:rPr>
          <w:rFonts w:ascii="Times New Roman" w:hAnsi="Times New Roman"/>
        </w:rPr>
      </w:pPr>
      <w:r>
        <w:rPr/>
      </w:r>
    </w:p>
    <w:p>
      <w:pPr>
        <w:pStyle w:val="Normal"/>
        <w:spacing w:lineRule="auto" w:line="360" w:before="0" w:after="240"/>
        <w:ind w:firstLine="850"/>
        <w:jc w:val="center"/>
        <w:rPr>
          <w:rFonts w:ascii="Times New Roman" w:hAnsi="Times New Roman"/>
        </w:rPr>
      </w:pPr>
      <w:r>
        <w:drawing>
          <wp:anchor behindDoc="0" distT="0" distB="0" distL="0" distR="0" simplePos="0" locked="0" layoutInCell="1" allowOverlap="1" relativeHeight="2">
            <wp:simplePos x="0" y="0"/>
            <wp:positionH relativeFrom="column">
              <wp:posOffset>0</wp:posOffset>
            </wp:positionH>
            <wp:positionV relativeFrom="paragraph">
              <wp:posOffset>197485</wp:posOffset>
            </wp:positionV>
            <wp:extent cx="6120130" cy="4424045"/>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0"/>
                    <a:stretch>
                      <a:fillRect/>
                    </a:stretch>
                  </pic:blipFill>
                  <pic:spPr bwMode="auto">
                    <a:xfrm>
                      <a:off x="0" y="0"/>
                      <a:ext cx="6120130" cy="4424045"/>
                    </a:xfrm>
                    <a:prstGeom prst="rect">
                      <a:avLst/>
                    </a:prstGeom>
                  </pic:spPr>
                </pic:pic>
              </a:graphicData>
            </a:graphic>
          </wp:anchor>
        </w:drawing>
      </w:r>
      <w:r>
        <w:rPr>
          <w:rFonts w:ascii="Times New Roman" w:hAnsi="Times New Roman"/>
        </w:rPr>
        <w:t>G</w:t>
      </w:r>
      <w:r>
        <w:rPr>
          <w:rFonts w:ascii="Times New Roman" w:hAnsi="Times New Roman"/>
        </w:rPr>
        <w:t xml:space="preserve">ráfico </w:t>
      </w:r>
      <w:r>
        <w:rPr>
          <w:rFonts w:ascii="Times New Roman" w:hAnsi="Times New Roman"/>
        </w:rPr>
        <w:t>4</w:t>
      </w:r>
      <w:r>
        <w:rPr>
          <w:rFonts w:ascii="Times New Roman" w:hAnsi="Times New Roman"/>
        </w:rPr>
        <w:t xml:space="preserve"> – Painel de normalidade dos resíduos do modelo </w:t>
      </w:r>
    </w:p>
    <w:p>
      <w:pPr>
        <w:pStyle w:val="Normal"/>
        <w:spacing w:lineRule="auto" w:line="360" w:before="0" w:after="240"/>
        <w:jc w:val="both"/>
        <w:rPr>
          <w:rFonts w:ascii="Times New Roman" w:hAnsi="Times New Roman"/>
        </w:rPr>
      </w:pPr>
      <w:r>
        <w:rPr>
          <w:rFonts w:ascii="Times New Roman" w:hAnsi="Times New Roman"/>
        </w:rPr>
        <w:t>Fonte: Elaborada pelos autores.</w:t>
      </w:r>
    </w:p>
    <w:p>
      <w:pPr>
        <w:pStyle w:val="Normal"/>
        <w:spacing w:lineRule="auto" w:line="360" w:before="0" w:after="240"/>
        <w:jc w:val="both"/>
        <w:rPr>
          <w:rFonts w:ascii="Times New Roman" w:hAnsi="Times New Roman"/>
          <w:b/>
          <w:b/>
          <w:bCs/>
        </w:rPr>
      </w:pPr>
      <w:r>
        <w:rPr/>
      </w:r>
    </w:p>
    <w:p>
      <w:pPr>
        <w:pStyle w:val="Normal"/>
        <w:spacing w:lineRule="auto" w:line="360" w:before="0" w:after="240"/>
        <w:jc w:val="both"/>
        <w:rPr>
          <w:rFonts w:ascii="Times New Roman" w:hAnsi="Times New Roman"/>
          <w:b/>
          <w:b/>
          <w:bCs/>
        </w:rPr>
      </w:pPr>
      <w:r>
        <w:rPr>
          <w:rFonts w:ascii="Times New Roman" w:hAnsi="Times New Roman"/>
          <w:b/>
          <w:bCs/>
        </w:rPr>
        <w:t>8.Conclusão</w:t>
      </w:r>
    </w:p>
    <w:p>
      <w:pPr>
        <w:pStyle w:val="Normal"/>
        <w:spacing w:lineRule="auto" w:line="360" w:before="0" w:after="240"/>
        <w:ind w:firstLine="850"/>
        <w:jc w:val="both"/>
        <w:rPr>
          <w:rFonts w:ascii="Times New Roman" w:hAnsi="Times New Roman"/>
        </w:rPr>
      </w:pPr>
      <w:r>
        <w:rPr>
          <w:rFonts w:ascii="Times New Roman" w:hAnsi="Times New Roman"/>
          <w:color w:val="000000"/>
        </w:rPr>
        <w:t>Modelando com dados em painel com feito aleatório via MQG, buscou-se verificar o efeito do acesso à educação básica na renda média dos municípios do Estado de Goiás. Assim, não apenas testando uma hipótese amplamente aceita na literatura, mas também contribuindo para o entendimento da economia regional do Estado de Goiás.</w:t>
      </w:r>
    </w:p>
    <w:p>
      <w:pPr>
        <w:pStyle w:val="Normal"/>
        <w:spacing w:lineRule="auto" w:line="360" w:before="0" w:after="240"/>
        <w:ind w:firstLine="850"/>
        <w:jc w:val="both"/>
        <w:rPr>
          <w:rFonts w:ascii="Times New Roman" w:hAnsi="Times New Roman"/>
          <w:color w:val="000000"/>
        </w:rPr>
      </w:pPr>
      <w:r>
        <w:rPr>
          <w:rFonts w:ascii="Times New Roman" w:hAnsi="Times New Roman"/>
          <w:color w:val="000000"/>
        </w:rPr>
        <w:t>Contribuindo para o entendimento das determinações da renda do Estado de Goiás e do papel assumido pela educação nessa determinação, pode-se concluir que o trabalho com os resultados apresentados indica</w:t>
      </w:r>
      <w:r>
        <w:rPr>
          <w:rFonts w:ascii="Times New Roman" w:hAnsi="Times New Roman"/>
          <w:color w:val="000000"/>
        </w:rPr>
        <w:t>m</w:t>
      </w:r>
      <w:r>
        <w:rPr>
          <w:rFonts w:ascii="Times New Roman" w:hAnsi="Times New Roman"/>
          <w:color w:val="000000"/>
        </w:rPr>
        <w:t xml:space="preserve"> um efeito positivo da ampliação do acesso à educação básica na renda média dos municípios. À guisa de conclusão, seguindo as evidências acumuladas na literatura referenciada, encontrou-se aceitação das hipóteses de trabalho levantadas ao longo do artigo. Deixando, assim, espaço aberto para pesquisas futuras aplicarem modelos com variáveis instrumentais.</w:t>
      </w:r>
    </w:p>
    <w:p>
      <w:pPr>
        <w:pStyle w:val="Normal"/>
        <w:spacing w:lineRule="auto" w:line="360" w:before="0" w:after="240"/>
        <w:jc w:val="both"/>
        <w:rPr>
          <w:rFonts w:ascii="Times New Roman" w:hAnsi="Times New Roman"/>
        </w:rPr>
      </w:pPr>
      <w:r>
        <w:rPr>
          <w:rFonts w:ascii="Times New Roman" w:hAnsi="Times New Roman"/>
        </w:rPr>
      </w:r>
    </w:p>
    <w:p>
      <w:pPr>
        <w:pStyle w:val="Normal"/>
        <w:spacing w:lineRule="auto" w:line="360" w:before="0" w:after="240"/>
        <w:jc w:val="both"/>
        <w:rPr>
          <w:rFonts w:ascii="Times New Roman" w:hAnsi="Times New Roman"/>
          <w:b/>
          <w:b/>
          <w:bCs/>
          <w:lang w:val="en-US"/>
        </w:rPr>
      </w:pPr>
      <w:r>
        <w:rPr>
          <w:rFonts w:ascii="Times New Roman" w:hAnsi="Times New Roman"/>
          <w:b/>
          <w:bCs/>
          <w:lang w:val="en-US"/>
        </w:rPr>
        <w:t xml:space="preserve">Referência Bibliográfica </w:t>
      </w:r>
    </w:p>
    <w:p>
      <w:pPr>
        <w:pStyle w:val="Normal"/>
        <w:spacing w:lineRule="auto" w:line="360" w:before="0" w:after="240"/>
        <w:jc w:val="both"/>
        <w:rPr>
          <w:rFonts w:ascii="Times New Roman" w:hAnsi="Times New Roman"/>
          <w:b/>
          <w:b/>
          <w:bCs/>
          <w:lang w:val="en-US"/>
        </w:rPr>
      </w:pPr>
      <w:r>
        <w:rPr/>
      </w:r>
    </w:p>
    <w:p>
      <w:pPr>
        <w:pStyle w:val="Normal"/>
        <w:spacing w:lineRule="auto" w:line="360" w:before="0" w:after="240"/>
        <w:jc w:val="both"/>
        <w:rPr>
          <w:rFonts w:ascii="Times New Roman" w:hAnsi="Times New Roman"/>
        </w:rPr>
      </w:pPr>
      <w:r>
        <w:rPr>
          <w:rFonts w:ascii="Times New Roman" w:hAnsi="Times New Roman"/>
          <w:lang w:val="en-US"/>
        </w:rPr>
        <w:t xml:space="preserve">ACEMOGLU, D.; ROBINSON, J. </w:t>
      </w:r>
      <w:r>
        <w:rPr>
          <w:rFonts w:ascii="Times New Roman" w:hAnsi="Times New Roman"/>
          <w:i/>
          <w:iCs/>
          <w:lang w:val="en-US"/>
        </w:rPr>
        <w:t>Why Nations Fail: The Origins of Power, Prosperity and Poverty</w:t>
      </w:r>
      <w:r>
        <w:rPr>
          <w:rFonts w:ascii="Times New Roman" w:hAnsi="Times New Roman"/>
          <w:lang w:val="en-US"/>
        </w:rPr>
        <w:t xml:space="preserve">. </w:t>
      </w:r>
      <w:r>
        <w:rPr>
          <w:rFonts w:ascii="Times New Roman" w:hAnsi="Times New Roman"/>
        </w:rPr>
        <w:t xml:space="preserve">New York: Crown, 2012. </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ACEMOGLU, D.; JOHNSON, S.; ROBINSON, J. The colonial origins of comparative development: an empirical investigation. </w:t>
      </w:r>
      <w:r>
        <w:rPr>
          <w:rFonts w:ascii="Times New Roman" w:hAnsi="Times New Roman"/>
          <w:i/>
          <w:iCs/>
          <w:lang w:val="en-US"/>
        </w:rPr>
        <w:t>American Economic Association</w:t>
      </w:r>
      <w:r>
        <w:rPr>
          <w:rFonts w:ascii="Times New Roman" w:hAnsi="Times New Roman"/>
          <w:lang w:val="en-US"/>
        </w:rPr>
        <w:t xml:space="preserve">, v. 91, n. 5, p. 1369- 1401, 2001. </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ACEMOGLU, D. </w:t>
      </w:r>
      <w:r>
        <w:rPr>
          <w:rFonts w:ascii="Times New Roman" w:hAnsi="Times New Roman"/>
          <w:i/>
          <w:iCs/>
          <w:lang w:val="en-US"/>
        </w:rPr>
        <w:t>Introduction to Modern Economic Growth.</w:t>
      </w:r>
      <w:r>
        <w:rPr>
          <w:rFonts w:ascii="Times New Roman" w:hAnsi="Times New Roman"/>
          <w:lang w:val="en-US"/>
        </w:rPr>
        <w:t xml:space="preserve"> New Jersey: Princeton University Press, 2009.</w:t>
      </w:r>
    </w:p>
    <w:p>
      <w:pPr>
        <w:pStyle w:val="Normal"/>
        <w:spacing w:lineRule="auto" w:line="360" w:before="0" w:after="240"/>
        <w:jc w:val="both"/>
        <w:rPr>
          <w:rFonts w:ascii="Times New Roman" w:hAnsi="Times New Roman"/>
        </w:rPr>
      </w:pPr>
      <w:r>
        <w:rPr>
          <w:rFonts w:ascii="Times New Roman" w:hAnsi="Times New Roman"/>
        </w:rPr>
        <w:t xml:space="preserve">BARROS, A. R. Dinâmica das desigualdades regionais no Brasil. </w:t>
      </w:r>
      <w:r>
        <w:rPr>
          <w:rFonts w:ascii="Times New Roman" w:hAnsi="Times New Roman"/>
          <w:i/>
          <w:iCs/>
        </w:rPr>
        <w:t>Revista Econômica do Nordeste</w:t>
      </w:r>
      <w:r>
        <w:rPr>
          <w:rFonts w:ascii="Times New Roman" w:hAnsi="Times New Roman"/>
        </w:rPr>
        <w:t>, Fortaleza, v. 43, n. 04, p. 9-26, 2012.</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BECKER, G. S. </w:t>
      </w:r>
      <w:r>
        <w:rPr>
          <w:rFonts w:ascii="Times New Roman" w:hAnsi="Times New Roman"/>
          <w:i/>
          <w:iCs/>
          <w:lang w:val="en-US"/>
        </w:rPr>
        <w:t>Human Capital: A Theoretical and Empirical Analysis, with Special Reference to Education</w:t>
      </w:r>
      <w:r>
        <w:rPr>
          <w:rFonts w:ascii="Times New Roman" w:hAnsi="Times New Roman"/>
          <w:lang w:val="en-US"/>
        </w:rPr>
        <w:t>. 3. ed. Chicago: University of Chicago Press, 1994</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BREUSCH, T. S.; PAGAN, A. R. The Lagrange multiplier test and its applications to model specification in econometrics. </w:t>
      </w:r>
      <w:r>
        <w:rPr>
          <w:rFonts w:ascii="Times New Roman" w:hAnsi="Times New Roman"/>
          <w:i/>
          <w:iCs/>
          <w:lang w:val="en-US"/>
        </w:rPr>
        <w:t>The Review of Economic Studies</w:t>
      </w:r>
      <w:r>
        <w:rPr>
          <w:rFonts w:ascii="Times New Roman" w:hAnsi="Times New Roman"/>
          <w:lang w:val="en-US"/>
        </w:rPr>
        <w:t>, v. 47, n. 1, p. 239-253, 1980.</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BREUSCH, T. S.; PAGAN, A. R. A Simple Test for Heteroscedasticity and Random Coefficient Variation. </w:t>
      </w:r>
      <w:r>
        <w:rPr>
          <w:rFonts w:ascii="Times New Roman" w:hAnsi="Times New Roman"/>
          <w:i/>
          <w:iCs/>
          <w:lang w:val="en-US"/>
        </w:rPr>
        <w:t>Econometrica</w:t>
      </w:r>
      <w:r>
        <w:rPr>
          <w:rFonts w:ascii="Times New Roman" w:hAnsi="Times New Roman"/>
          <w:lang w:val="en-US"/>
        </w:rPr>
        <w:t>, v. 47, n. 5, p. 1287-1294, 1979.</w:t>
      </w:r>
    </w:p>
    <w:p>
      <w:pPr>
        <w:pStyle w:val="Normal"/>
        <w:spacing w:lineRule="auto" w:line="360" w:before="0" w:after="240"/>
        <w:jc w:val="both"/>
        <w:rPr>
          <w:rFonts w:ascii="Times New Roman" w:hAnsi="Times New Roman"/>
        </w:rPr>
      </w:pPr>
      <w:r>
        <w:rPr>
          <w:rFonts w:ascii="Times New Roman" w:hAnsi="Times New Roman"/>
          <w:lang w:val="en-US"/>
        </w:rPr>
        <w:t xml:space="preserve">BREUSCH, T. S. Testing for autocorrelation in dynamic linear models. </w:t>
      </w:r>
      <w:r>
        <w:rPr>
          <w:rFonts w:ascii="Times New Roman" w:hAnsi="Times New Roman"/>
          <w:i/>
          <w:iCs/>
        </w:rPr>
        <w:t>Australian Economics Papers</w:t>
      </w:r>
      <w:r>
        <w:rPr>
          <w:rFonts w:ascii="Times New Roman" w:hAnsi="Times New Roman"/>
        </w:rPr>
        <w:t>, v. 17, n. 31, p. 334-355, 1978.</w:t>
      </w:r>
    </w:p>
    <w:p>
      <w:pPr>
        <w:pStyle w:val="Normal"/>
        <w:spacing w:lineRule="auto" w:line="360" w:before="0" w:after="240"/>
        <w:jc w:val="both"/>
        <w:rPr>
          <w:rFonts w:ascii="Times New Roman" w:hAnsi="Times New Roman"/>
        </w:rPr>
      </w:pPr>
      <w:r>
        <w:rPr>
          <w:rFonts w:ascii="Times New Roman" w:hAnsi="Times New Roman"/>
        </w:rPr>
        <w:t xml:space="preserve">BRUCE, P. BRUCE, A. </w:t>
      </w:r>
      <w:r>
        <w:rPr>
          <w:rFonts w:ascii="Times New Roman" w:hAnsi="Times New Roman"/>
          <w:i/>
          <w:iCs/>
        </w:rPr>
        <w:t>Estatística Prática para cientistas de Dados. Rio de Janeiro</w:t>
      </w:r>
      <w:r>
        <w:rPr>
          <w:rFonts w:ascii="Times New Roman" w:hAnsi="Times New Roman"/>
        </w:rPr>
        <w:t xml:space="preserve">: Alta Books, 2019. </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DOMAR, E. D. Capital Expansion, Rate of Growth, and Employment. </w:t>
      </w:r>
      <w:r>
        <w:rPr>
          <w:rFonts w:ascii="Times New Roman" w:hAnsi="Times New Roman"/>
          <w:i/>
          <w:iCs/>
          <w:lang w:val="en-US"/>
        </w:rPr>
        <w:t>Econometrica</w:t>
      </w:r>
      <w:r>
        <w:rPr>
          <w:rFonts w:ascii="Times New Roman" w:hAnsi="Times New Roman"/>
          <w:lang w:val="en-US"/>
        </w:rPr>
        <w:t>, v. 14, n. 2, p. 137-147, 1946.</w:t>
      </w:r>
    </w:p>
    <w:p>
      <w:pPr>
        <w:pStyle w:val="Normal"/>
        <w:spacing w:lineRule="auto" w:line="360" w:before="0" w:after="240"/>
        <w:jc w:val="both"/>
        <w:rPr>
          <w:rFonts w:ascii="Times New Roman" w:hAnsi="Times New Roman"/>
          <w:lang w:val="en-US"/>
        </w:rPr>
      </w:pPr>
      <w:r>
        <w:rPr>
          <w:rFonts w:ascii="Times New Roman" w:hAnsi="Times New Roman"/>
          <w:lang w:val="en-US"/>
        </w:rPr>
        <w:t>DHRYMES, P. J.</w:t>
      </w:r>
      <w:r>
        <w:rPr>
          <w:rFonts w:ascii="Times New Roman" w:hAnsi="Times New Roman"/>
          <w:i/>
          <w:iCs/>
          <w:lang w:val="en-US"/>
        </w:rPr>
        <w:t xml:space="preserve"> Mathematics for Econometrics</w:t>
      </w:r>
      <w:r>
        <w:rPr>
          <w:rFonts w:ascii="Times New Roman" w:hAnsi="Times New Roman"/>
          <w:lang w:val="en-US"/>
        </w:rPr>
        <w:t xml:space="preserve">. 4. ed. New York: Springer, 2013. </w:t>
      </w:r>
    </w:p>
    <w:p>
      <w:pPr>
        <w:pStyle w:val="Normal"/>
        <w:spacing w:lineRule="auto" w:line="360" w:before="0" w:after="240"/>
        <w:jc w:val="both"/>
        <w:rPr>
          <w:rFonts w:ascii="Times New Roman" w:hAnsi="Times New Roman"/>
          <w:lang w:val="en-US"/>
        </w:rPr>
      </w:pPr>
      <w:r>
        <w:rPr>
          <w:rFonts w:ascii="Times New Roman" w:hAnsi="Times New Roman"/>
        </w:rPr>
        <w:t xml:space="preserve">FONSECA JUNIOR, S. B.; ROMANATTO, E. </w:t>
      </w:r>
      <w:r>
        <w:rPr>
          <w:rFonts w:ascii="Times New Roman" w:hAnsi="Times New Roman"/>
          <w:i/>
          <w:iCs/>
        </w:rPr>
        <w:t>Agropecuária goiana: uma análise em perspectiva histórica</w:t>
      </w:r>
      <w:r>
        <w:rPr>
          <w:rFonts w:ascii="Times New Roman" w:hAnsi="Times New Roman"/>
        </w:rPr>
        <w:t xml:space="preserve">. </w:t>
      </w:r>
      <w:r>
        <w:rPr>
          <w:rFonts w:ascii="Times New Roman" w:hAnsi="Times New Roman"/>
          <w:lang w:val="en-US"/>
        </w:rPr>
        <w:t xml:space="preserve">Goiânia: Instituto Mauro Borges, 2017. </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GREENE, W. H. </w:t>
      </w:r>
      <w:r>
        <w:rPr>
          <w:rFonts w:ascii="Times New Roman" w:hAnsi="Times New Roman"/>
          <w:i/>
          <w:iCs/>
          <w:lang w:val="en-US"/>
        </w:rPr>
        <w:t>Econometric analysis</w:t>
      </w:r>
      <w:r>
        <w:rPr>
          <w:rFonts w:ascii="Times New Roman" w:hAnsi="Times New Roman"/>
          <w:lang w:val="en-US"/>
        </w:rPr>
        <w:t xml:space="preserve">. 5. ed. New Jersey: Prentice Hall, 2002. </w:t>
      </w:r>
    </w:p>
    <w:p>
      <w:pPr>
        <w:pStyle w:val="Normal"/>
        <w:spacing w:lineRule="auto" w:line="360" w:before="0" w:after="240"/>
        <w:jc w:val="both"/>
        <w:rPr>
          <w:rFonts w:ascii="Times New Roman" w:hAnsi="Times New Roman"/>
        </w:rPr>
      </w:pPr>
      <w:r>
        <w:rPr>
          <w:rFonts w:ascii="Times New Roman" w:hAnsi="Times New Roman"/>
        </w:rPr>
        <w:t xml:space="preserve">GUJARATI, D. N.; PORTER, D. C. </w:t>
      </w:r>
      <w:r>
        <w:rPr>
          <w:rFonts w:ascii="Times New Roman" w:hAnsi="Times New Roman"/>
          <w:i/>
          <w:iCs/>
        </w:rPr>
        <w:t>Econometria Básica</w:t>
      </w:r>
      <w:r>
        <w:rPr>
          <w:rFonts w:ascii="Times New Roman" w:hAnsi="Times New Roman"/>
        </w:rPr>
        <w:t>. 5. ed. Porto Alegre: AMGH Editora, 2011.</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HARROD, R. F. An Essay in Dynamic Theory. </w:t>
      </w:r>
      <w:r>
        <w:rPr>
          <w:rFonts w:ascii="Times New Roman" w:hAnsi="Times New Roman"/>
          <w:i/>
          <w:iCs/>
          <w:lang w:val="en-US"/>
        </w:rPr>
        <w:t>The Economic Journal</w:t>
      </w:r>
      <w:r>
        <w:rPr>
          <w:rFonts w:ascii="Times New Roman" w:hAnsi="Times New Roman"/>
          <w:lang w:val="en-US"/>
        </w:rPr>
        <w:t xml:space="preserve">, v. 49, n. 193, p. 14-33, 1939. </w:t>
      </w:r>
    </w:p>
    <w:p>
      <w:pPr>
        <w:pStyle w:val="Normal"/>
        <w:spacing w:lineRule="auto" w:line="360" w:before="0" w:after="240"/>
        <w:jc w:val="both"/>
        <w:rPr>
          <w:rFonts w:ascii="Times New Roman" w:hAnsi="Times New Roman"/>
        </w:rPr>
      </w:pPr>
      <w:r>
        <w:rPr>
          <w:rFonts w:ascii="Times New Roman" w:hAnsi="Times New Roman"/>
          <w:lang w:val="en-US"/>
        </w:rPr>
        <w:t xml:space="preserve">HAUSMAN, J. A. Specification tests in econometrics. </w:t>
      </w:r>
      <w:r>
        <w:rPr>
          <w:rFonts w:ascii="Times New Roman" w:hAnsi="Times New Roman"/>
          <w:i/>
          <w:iCs/>
        </w:rPr>
        <w:t>Econometrica</w:t>
      </w:r>
      <w:r>
        <w:rPr>
          <w:rFonts w:ascii="Times New Roman" w:hAnsi="Times New Roman"/>
        </w:rPr>
        <w:t>, v. 46, n. 6, p. 1251 1271, 1978.</w:t>
      </w:r>
    </w:p>
    <w:p>
      <w:pPr>
        <w:pStyle w:val="Normal"/>
        <w:spacing w:lineRule="auto" w:line="360" w:before="0" w:after="240"/>
        <w:jc w:val="both"/>
        <w:rPr>
          <w:rFonts w:ascii="Times New Roman" w:hAnsi="Times New Roman"/>
        </w:rPr>
      </w:pPr>
      <w:r>
        <w:rPr>
          <w:rFonts w:ascii="Times New Roman" w:hAnsi="Times New Roman"/>
        </w:rPr>
        <w:t xml:space="preserve">JONES, C. I. </w:t>
      </w:r>
      <w:r>
        <w:rPr>
          <w:rFonts w:ascii="Times New Roman" w:hAnsi="Times New Roman"/>
          <w:i/>
          <w:iCs/>
        </w:rPr>
        <w:t>Introdução à Teoria do Crescimento Econômico</w:t>
      </w:r>
      <w:r>
        <w:rPr>
          <w:rFonts w:ascii="Times New Roman" w:hAnsi="Times New Roman"/>
        </w:rPr>
        <w:t>. 2. ed. Stanford: Elsevier, 2000.</w:t>
      </w:r>
    </w:p>
    <w:p>
      <w:pPr>
        <w:pStyle w:val="Normal"/>
        <w:spacing w:lineRule="auto" w:line="360" w:before="0" w:after="240"/>
        <w:jc w:val="both"/>
        <w:rPr>
          <w:rFonts w:ascii="Times New Roman" w:hAnsi="Times New Roman"/>
        </w:rPr>
      </w:pPr>
      <w:r>
        <w:rPr>
          <w:rFonts w:ascii="Times New Roman" w:hAnsi="Times New Roman"/>
        </w:rPr>
        <w:t>LANGONI, C. G.</w:t>
      </w:r>
      <w:r>
        <w:rPr>
          <w:rFonts w:ascii="Times New Roman" w:hAnsi="Times New Roman"/>
          <w:i/>
          <w:iCs/>
        </w:rPr>
        <w:t xml:space="preserve"> As Causas do Crescimento Econômico do Brasil</w:t>
      </w:r>
      <w:r>
        <w:rPr>
          <w:rFonts w:ascii="Times New Roman" w:hAnsi="Times New Roman"/>
        </w:rPr>
        <w:t>. Rio de Janeiro: APEC, 1974.</w:t>
      </w:r>
    </w:p>
    <w:p>
      <w:pPr>
        <w:pStyle w:val="Normal"/>
        <w:spacing w:lineRule="auto" w:line="360" w:before="0" w:after="240"/>
        <w:jc w:val="both"/>
        <w:rPr>
          <w:rFonts w:ascii="Times New Roman" w:hAnsi="Times New Roman"/>
          <w:lang w:val="en-US"/>
        </w:rPr>
      </w:pPr>
      <w:r>
        <w:rPr>
          <w:rFonts w:ascii="Times New Roman" w:hAnsi="Times New Roman"/>
        </w:rPr>
        <w:t xml:space="preserve">LUCAS, R. E. Jr. </w:t>
      </w:r>
      <w:r>
        <w:rPr>
          <w:rFonts w:ascii="Times New Roman" w:hAnsi="Times New Roman"/>
          <w:lang w:val="en-US"/>
        </w:rPr>
        <w:t xml:space="preserve">On the mechanics of Economic Development. </w:t>
      </w:r>
      <w:r>
        <w:rPr>
          <w:rFonts w:ascii="Times New Roman" w:hAnsi="Times New Roman"/>
          <w:i/>
          <w:iCs/>
          <w:lang w:val="en-US"/>
        </w:rPr>
        <w:t>Journal of Monetary Economics</w:t>
      </w:r>
      <w:r>
        <w:rPr>
          <w:rFonts w:ascii="Times New Roman" w:hAnsi="Times New Roman"/>
          <w:lang w:val="en-US"/>
        </w:rPr>
        <w:t>, v. 22, n. 1, p. 3-42, 1988.</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MANKIW, N. G.; ROMER, D.; WEIL, D. N. A Contribution to the Empirics of Economic Growth. </w:t>
      </w:r>
      <w:r>
        <w:rPr>
          <w:rFonts w:ascii="Times New Roman" w:hAnsi="Times New Roman"/>
          <w:i/>
          <w:iCs/>
          <w:lang w:val="en-US"/>
        </w:rPr>
        <w:t>The Quarterly Journal of Economics</w:t>
      </w:r>
      <w:r>
        <w:rPr>
          <w:rFonts w:ascii="Times New Roman" w:hAnsi="Times New Roman"/>
          <w:lang w:val="en-US"/>
        </w:rPr>
        <w:t>, v. 107, n. 2, p. 407-437, 1992.</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MINCER, J. A. Investment in Human Capital and Personal Income Distribution. </w:t>
      </w:r>
      <w:r>
        <w:rPr>
          <w:rFonts w:ascii="Times New Roman" w:hAnsi="Times New Roman"/>
          <w:i/>
          <w:iCs/>
          <w:lang w:val="en-US"/>
        </w:rPr>
        <w:t>The Journal of Political Economy</w:t>
      </w:r>
      <w:r>
        <w:rPr>
          <w:rFonts w:ascii="Times New Roman" w:hAnsi="Times New Roman"/>
          <w:lang w:val="en-US"/>
        </w:rPr>
        <w:t>, v. 66, n. 4, p. 281-302, 1958.</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MINCER, J. A. </w:t>
      </w:r>
      <w:r>
        <w:rPr>
          <w:rFonts w:ascii="Times New Roman" w:hAnsi="Times New Roman"/>
          <w:i/>
          <w:iCs/>
          <w:lang w:val="en-US"/>
        </w:rPr>
        <w:t>Schooling, Experience, and Earnings</w:t>
      </w:r>
      <w:r>
        <w:rPr>
          <w:rFonts w:ascii="Times New Roman" w:hAnsi="Times New Roman"/>
          <w:lang w:val="en-US"/>
        </w:rPr>
        <w:t xml:space="preserve">. New York: National Bureau of Economic Research, 1974. </w:t>
      </w:r>
    </w:p>
    <w:p>
      <w:pPr>
        <w:pStyle w:val="Normal"/>
        <w:spacing w:lineRule="auto" w:line="360" w:before="0" w:after="240"/>
        <w:jc w:val="both"/>
        <w:rPr>
          <w:rFonts w:ascii="Times New Roman" w:hAnsi="Times New Roman"/>
        </w:rPr>
      </w:pPr>
      <w:r>
        <w:rPr>
          <w:rFonts w:ascii="Times New Roman" w:hAnsi="Times New Roman"/>
        </w:rPr>
        <w:t xml:space="preserve">NORTH, D. </w:t>
      </w:r>
      <w:r>
        <w:rPr>
          <w:rFonts w:ascii="Times New Roman" w:hAnsi="Times New Roman"/>
          <w:i/>
          <w:iCs/>
        </w:rPr>
        <w:t>Custos de Transação, Instituições e Desempenho Econômico</w:t>
      </w:r>
      <w:r>
        <w:rPr>
          <w:rFonts w:ascii="Times New Roman" w:hAnsi="Times New Roman"/>
        </w:rPr>
        <w:t xml:space="preserve">. Rio de Janeiro: Instituto Liberal, p. 1-36, 1998. </w:t>
      </w:r>
    </w:p>
    <w:p>
      <w:pPr>
        <w:pStyle w:val="Normal"/>
        <w:spacing w:lineRule="auto" w:line="360" w:before="0" w:after="240"/>
        <w:jc w:val="both"/>
        <w:rPr>
          <w:rFonts w:ascii="Times New Roman" w:hAnsi="Times New Roman"/>
        </w:rPr>
      </w:pPr>
      <w:r>
        <w:rPr>
          <w:rFonts w:ascii="Times New Roman" w:hAnsi="Times New Roman"/>
        </w:rPr>
        <w:t xml:space="preserve">NORTH, D.C. Desempenho econômico através do tempo. </w:t>
      </w:r>
      <w:r>
        <w:rPr>
          <w:rFonts w:ascii="Times New Roman" w:hAnsi="Times New Roman"/>
          <w:i/>
          <w:iCs/>
        </w:rPr>
        <w:t>Revista de Direito Administrativo</w:t>
      </w:r>
      <w:r>
        <w:rPr>
          <w:rFonts w:ascii="Times New Roman" w:hAnsi="Times New Roman"/>
        </w:rPr>
        <w:t xml:space="preserve">, Rio de Janeiro, v. 255, p. 13-30, set./dez. 2010. </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NORTH, D.C. </w:t>
      </w:r>
      <w:r>
        <w:rPr>
          <w:rFonts w:ascii="Times New Roman" w:hAnsi="Times New Roman"/>
          <w:i/>
          <w:iCs/>
          <w:lang w:val="en-US"/>
        </w:rPr>
        <w:t xml:space="preserve">Institutions, Institutional Change and Economic Performance. </w:t>
      </w:r>
      <w:r>
        <w:rPr>
          <w:rFonts w:ascii="Times New Roman" w:hAnsi="Times New Roman"/>
          <w:lang w:val="en-US"/>
        </w:rPr>
        <w:t>Cambridge: Cambridge University Press, 1990.</w:t>
      </w:r>
    </w:p>
    <w:p>
      <w:pPr>
        <w:pStyle w:val="Normal"/>
        <w:spacing w:lineRule="auto" w:line="360" w:before="0" w:after="240"/>
        <w:jc w:val="both"/>
        <w:rPr>
          <w:rFonts w:ascii="Times New Roman" w:hAnsi="Times New Roman"/>
          <w:lang w:val="es-419"/>
        </w:rPr>
      </w:pPr>
      <w:r>
        <w:rPr>
          <w:rFonts w:ascii="Times New Roman" w:hAnsi="Times New Roman"/>
          <w:lang w:val="en-US"/>
        </w:rPr>
        <w:t xml:space="preserve">PESARAN, M. H. Testing Weak Cross-Sectional Dependence in Large Panels. </w:t>
      </w:r>
      <w:r>
        <w:rPr>
          <w:rFonts w:ascii="Times New Roman" w:hAnsi="Times New Roman"/>
          <w:i/>
          <w:iCs/>
          <w:lang w:val="es-419"/>
        </w:rPr>
        <w:t>Econometric Reviews</w:t>
      </w:r>
      <w:r>
        <w:rPr>
          <w:rFonts w:ascii="Times New Roman" w:hAnsi="Times New Roman"/>
          <w:lang w:val="es-419"/>
        </w:rPr>
        <w:t>, v. 34, n. 6-10, p. 1089-1117, 2015.</w:t>
      </w:r>
    </w:p>
    <w:p>
      <w:pPr>
        <w:pStyle w:val="Normal"/>
        <w:spacing w:lineRule="auto" w:line="360" w:before="0" w:after="240"/>
        <w:jc w:val="both"/>
        <w:rPr>
          <w:rFonts w:ascii="Times New Roman" w:hAnsi="Times New Roman"/>
        </w:rPr>
      </w:pPr>
      <w:r>
        <w:rPr>
          <w:rFonts w:ascii="Times New Roman" w:hAnsi="Times New Roman"/>
          <w:lang w:val="es-419"/>
        </w:rPr>
        <w:t xml:space="preserve">RONCAGLIA, A. </w:t>
      </w:r>
      <w:r>
        <w:rPr>
          <w:rFonts w:ascii="Times New Roman" w:hAnsi="Times New Roman"/>
          <w:i/>
          <w:iCs/>
          <w:lang w:val="es-419"/>
        </w:rPr>
        <w:t>La riqueza de las ideas: Una historia del pensamiento económico</w:t>
      </w:r>
      <w:r>
        <w:rPr>
          <w:rFonts w:ascii="Times New Roman" w:hAnsi="Times New Roman"/>
          <w:lang w:val="es-419"/>
        </w:rPr>
        <w:t xml:space="preserve">. </w:t>
      </w:r>
      <w:r>
        <w:rPr>
          <w:rFonts w:ascii="Times New Roman" w:hAnsi="Times New Roman"/>
        </w:rPr>
        <w:t>Zaragoza: Universidad de Zaragoza, 2009.</w:t>
      </w:r>
    </w:p>
    <w:p>
      <w:pPr>
        <w:pStyle w:val="Normal"/>
        <w:spacing w:lineRule="auto" w:line="360" w:before="0" w:after="240"/>
        <w:jc w:val="both"/>
        <w:rPr>
          <w:rFonts w:ascii="Times New Roman" w:hAnsi="Times New Roman"/>
        </w:rPr>
      </w:pPr>
      <w:r>
        <w:rPr>
          <w:rFonts w:ascii="Times New Roman" w:hAnsi="Times New Roman"/>
        </w:rPr>
        <w:t xml:space="preserve">SAMARCO NETO, W. R. </w:t>
      </w:r>
      <w:r>
        <w:rPr>
          <w:rFonts w:ascii="Times New Roman" w:hAnsi="Times New Roman"/>
          <w:i/>
          <w:iCs/>
        </w:rPr>
        <w:t>Educação e renda: um estudo comparativo sobre os retornos de escolaridade no estado de Goiás e no Distrito Federal</w:t>
      </w:r>
      <w:r>
        <w:rPr>
          <w:rFonts w:ascii="Times New Roman" w:hAnsi="Times New Roman"/>
        </w:rPr>
        <w:t xml:space="preserve">. 2013. Dissertação (mestrado) Departamento de Economia, Universidade de Brasília, Brasília. </w:t>
      </w:r>
    </w:p>
    <w:p>
      <w:pPr>
        <w:pStyle w:val="Normal"/>
        <w:spacing w:lineRule="auto" w:line="360" w:before="0" w:after="240"/>
        <w:jc w:val="both"/>
        <w:rPr>
          <w:rFonts w:ascii="Times New Roman" w:hAnsi="Times New Roman"/>
        </w:rPr>
      </w:pPr>
      <w:r>
        <w:rPr>
          <w:rFonts w:ascii="Times New Roman" w:hAnsi="Times New Roman"/>
        </w:rPr>
        <w:t xml:space="preserve">SCHULTZ, T. W. </w:t>
      </w:r>
      <w:r>
        <w:rPr>
          <w:rFonts w:ascii="Times New Roman" w:hAnsi="Times New Roman"/>
          <w:i/>
          <w:iCs/>
        </w:rPr>
        <w:t>O capital humano: investimentos em educação e pesquisa</w:t>
      </w:r>
      <w:r>
        <w:rPr>
          <w:rFonts w:ascii="Times New Roman" w:hAnsi="Times New Roman"/>
        </w:rPr>
        <w:t xml:space="preserve">. Rio de Janeiro: Zahar, 1973. </w:t>
      </w:r>
    </w:p>
    <w:p>
      <w:pPr>
        <w:pStyle w:val="Normal"/>
        <w:spacing w:lineRule="auto" w:line="360" w:before="0" w:after="240"/>
        <w:jc w:val="both"/>
        <w:rPr>
          <w:rFonts w:ascii="Times New Roman" w:hAnsi="Times New Roman"/>
          <w:lang w:val="en-US"/>
        </w:rPr>
      </w:pPr>
      <w:r>
        <w:rPr>
          <w:rFonts w:ascii="Times New Roman" w:hAnsi="Times New Roman"/>
        </w:rPr>
        <w:t xml:space="preserve">SHIKIDA, C. D.; MONASTERIO, L.; NERY, P. F. </w:t>
      </w:r>
      <w:r>
        <w:rPr>
          <w:rFonts w:ascii="Times New Roman" w:hAnsi="Times New Roman"/>
          <w:i/>
          <w:iCs/>
        </w:rPr>
        <w:t>Guia brasileiro de análise de dados: armadilhas &amp; soluções</w:t>
      </w:r>
      <w:r>
        <w:rPr>
          <w:rFonts w:ascii="Times New Roman" w:hAnsi="Times New Roman"/>
        </w:rPr>
        <w:t xml:space="preserve">. </w:t>
      </w:r>
      <w:r>
        <w:rPr>
          <w:rFonts w:ascii="Times New Roman" w:hAnsi="Times New Roman"/>
          <w:lang w:val="en-US"/>
        </w:rPr>
        <w:t xml:space="preserve">Brasília: Enap, 2021. </w:t>
      </w:r>
    </w:p>
    <w:p>
      <w:pPr>
        <w:pStyle w:val="Normal"/>
        <w:spacing w:lineRule="auto" w:line="360" w:before="0" w:after="240"/>
        <w:jc w:val="both"/>
        <w:rPr>
          <w:rFonts w:ascii="Times New Roman" w:hAnsi="Times New Roman"/>
          <w:lang w:val="en-US"/>
        </w:rPr>
      </w:pPr>
      <w:r>
        <w:rPr>
          <w:rFonts w:ascii="Times New Roman" w:hAnsi="Times New Roman"/>
          <w:lang w:val="en-US"/>
        </w:rPr>
        <w:t>SOKOLOFF, K. L.; ENGERMAN, S. L. Institutions, Factor Endowments, and Paths of Development in the New World.</w:t>
      </w:r>
      <w:r>
        <w:rPr>
          <w:rFonts w:ascii="Times New Roman" w:hAnsi="Times New Roman"/>
          <w:i/>
          <w:iCs/>
          <w:lang w:val="en-US"/>
        </w:rPr>
        <w:t xml:space="preserve"> Journal of Economic Perspectives</w:t>
      </w:r>
      <w:r>
        <w:rPr>
          <w:rFonts w:ascii="Times New Roman" w:hAnsi="Times New Roman"/>
          <w:lang w:val="en-US"/>
        </w:rPr>
        <w:t>, v. 14, n. 3, p. 217-232, 2000.</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SOLLOW, R. M. A Contribution to the Theory of Economic Growth. </w:t>
      </w:r>
      <w:r>
        <w:rPr>
          <w:rFonts w:ascii="Times New Roman" w:hAnsi="Times New Roman"/>
          <w:i/>
          <w:iCs/>
          <w:lang w:val="en-US"/>
        </w:rPr>
        <w:t>The Quarterly Journal of Economics</w:t>
      </w:r>
      <w:r>
        <w:rPr>
          <w:rFonts w:ascii="Times New Roman" w:hAnsi="Times New Roman"/>
          <w:lang w:val="en-US"/>
        </w:rPr>
        <w:t>, v.70, n. 1, p. 65-94, 1956.</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YAZICI, B.; YOLACAN, S. A comparison of various tests of normality. </w:t>
      </w:r>
      <w:r>
        <w:rPr>
          <w:rFonts w:ascii="Times New Roman" w:hAnsi="Times New Roman"/>
          <w:i/>
          <w:iCs/>
          <w:lang w:val="en-US"/>
        </w:rPr>
        <w:t>Journal of Statistical Computation and Simulation</w:t>
      </w:r>
      <w:r>
        <w:rPr>
          <w:rFonts w:ascii="Times New Roman" w:hAnsi="Times New Roman"/>
          <w:lang w:val="en-US"/>
        </w:rPr>
        <w:t>, v. 77:2, p. 175-183, 2007.</w:t>
      </w:r>
    </w:p>
    <w:p>
      <w:pPr>
        <w:pStyle w:val="Normal"/>
        <w:spacing w:lineRule="auto" w:line="360" w:before="0" w:after="240"/>
        <w:jc w:val="both"/>
        <w:rPr>
          <w:rFonts w:ascii="Times New Roman" w:hAnsi="Times New Roman"/>
          <w:lang w:val="en-US"/>
        </w:rPr>
      </w:pPr>
      <w:r>
        <w:rPr>
          <w:rFonts w:ascii="Times New Roman" w:hAnsi="Times New Roman"/>
          <w:lang w:val="en-US"/>
        </w:rPr>
        <w:t xml:space="preserve">WOOLDRIDGE, J. M. </w:t>
      </w:r>
      <w:r>
        <w:rPr>
          <w:rFonts w:ascii="Times New Roman" w:hAnsi="Times New Roman"/>
          <w:i/>
          <w:iCs/>
          <w:lang w:val="en-US"/>
        </w:rPr>
        <w:t>Introdução à econometria: uma abordagem moderna</w:t>
      </w:r>
      <w:r>
        <w:rPr>
          <w:rFonts w:ascii="Times New Roman" w:hAnsi="Times New Roman"/>
          <w:lang w:val="en-US"/>
        </w:rPr>
        <w:t xml:space="preserve">. São Paulo: Thomson Learning, 2007. </w:t>
      </w:r>
    </w:p>
    <w:p>
      <w:pPr>
        <w:pStyle w:val="Normal"/>
        <w:spacing w:lineRule="auto" w:line="360" w:before="0" w:after="240"/>
        <w:jc w:val="both"/>
        <w:rPr>
          <w:rFonts w:ascii="Times New Roman" w:hAnsi="Times New Roman"/>
        </w:rPr>
      </w:pPr>
      <w:r>
        <w:rPr>
          <w:rFonts w:ascii="Times New Roman" w:hAnsi="Times New Roman"/>
          <w:lang w:val="en-US"/>
        </w:rPr>
        <w:t xml:space="preserve">WOOLDRIDGE, J. M. </w:t>
      </w:r>
      <w:r>
        <w:rPr>
          <w:rFonts w:ascii="Times New Roman" w:hAnsi="Times New Roman"/>
          <w:i/>
          <w:iCs/>
          <w:lang w:val="en-US"/>
        </w:rPr>
        <w:t>Econometric Analysis of Cross Section and Panel Data</w:t>
      </w:r>
      <w:r>
        <w:rPr>
          <w:rFonts w:ascii="Times New Roman" w:hAnsi="Times New Roman"/>
          <w:lang w:val="en-US"/>
        </w:rPr>
        <w:t xml:space="preserve">. 2. ed. </w:t>
      </w:r>
      <w:r>
        <w:rPr>
          <w:rFonts w:ascii="Times New Roman" w:hAnsi="Times New Roman"/>
        </w:rPr>
        <w:t>Cambridge: MIT Press, 2010.</w:t>
      </w:r>
    </w:p>
    <w:sectPr>
      <w:headerReference w:type="default" r:id="rId11"/>
      <w:footnotePr>
        <w:numFmt w:val="decimal"/>
      </w:footnote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ind w:left="0" w:hanging="0"/>
        <w:jc w:val="both"/>
        <w:rPr/>
      </w:pPr>
      <w:r>
        <w:rPr>
          <w:rStyle w:val="Caracteresdenotaderodap"/>
        </w:rPr>
        <w:footnoteRef/>
      </w:r>
      <w:r>
        <w:rPr>
          <w:rFonts w:ascii="Times New Roman" w:hAnsi="Times New Roman"/>
        </w:rPr>
        <w:t xml:space="preserve"> </w:t>
      </w:r>
      <w:r>
        <w:rPr>
          <w:rFonts w:ascii="Times New Roman" w:hAnsi="Times New Roman"/>
        </w:rPr>
        <w:t>Graduando em Ciências Econômicas pela Universidade Estadual de Goiás, Campus Ciências Socioeconômicas e Humanas (CCSEH/UEG-Anápolis). E-mail: luizpauloueg@gmail.com.</w:t>
      </w:r>
    </w:p>
  </w:footnote>
  <w:footnote w:id="3">
    <w:p>
      <w:pPr>
        <w:pStyle w:val="Notaderodap"/>
        <w:ind w:left="0" w:hanging="0"/>
        <w:jc w:val="both"/>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rPr>
        <w:t>Graduando em Ciências Econômicas pela Universidade Estadual de Goiás, Campus Ciências Socioeconômicas e Humanas (CCSEH/UEG-Anápolis). E-mail: gabriel.oliveira@aluno.ueg.br.</w:t>
      </w:r>
    </w:p>
  </w:footnote>
  <w:footnote w:id="4">
    <w:p>
      <w:pPr>
        <w:pStyle w:val="Notaderodap"/>
        <w:ind w:left="0" w:hanging="0"/>
        <w:jc w:val="both"/>
        <w:rPr/>
      </w:pPr>
      <w:r>
        <w:rPr>
          <w:rStyle w:val="Caracteresdenotaderodap"/>
        </w:rPr>
        <w:footnoteRef/>
      </w:r>
      <w:r>
        <w:rPr/>
        <w:t xml:space="preserve"> </w:t>
      </w:r>
      <w:r>
        <w:rPr/>
        <w:t>Docente e Pesquisador no Curso de Ciências Econômicas n</w:t>
      </w:r>
      <w:r>
        <w:rPr>
          <w:rFonts w:ascii="Times New Roman" w:hAnsi="Times New Roman"/>
        </w:rPr>
        <w:t>a Universidade Estadual de Goiás, Campus Ciências Socioeconômicas e Humanas (CCSEH/UEG-Anápolis)</w:t>
      </w:r>
      <w:r>
        <w:rPr/>
        <w:t>; Doutor em Ciências Ambientais (UFG/GO); Mestre em Economia Aplicada (UFV/MG). E-mail: lbalves@ueg.br.</w:t>
      </w:r>
    </w:p>
  </w:footnote>
  <w:footnote w:id="5">
    <w:p>
      <w:pPr>
        <w:pStyle w:val="Notaderodap"/>
        <w:ind w:left="0" w:hanging="0"/>
        <w:jc w:val="both"/>
        <w:rPr/>
      </w:pPr>
      <w:r>
        <w:rPr>
          <w:rStyle w:val="Caracteresdenotaderodap"/>
        </w:rPr>
        <w:footnoteRef/>
      </w:r>
      <w:r>
        <w:rPr>
          <w:rFonts w:ascii="Times New Roman" w:hAnsi="Times New Roman"/>
        </w:rPr>
        <w:t xml:space="preserve"> </w:t>
      </w:r>
      <w:bookmarkStart w:id="16" w:name="_Hlk81465451"/>
      <w:r>
        <w:rPr>
          <w:rFonts w:ascii="Times New Roman" w:hAnsi="Times New Roman"/>
        </w:rPr>
        <w:t>Harrod (1939) e Domar (1946)</w:t>
      </w:r>
      <w:bookmarkEnd w:id="16"/>
      <w:r>
        <w:rPr/>
        <w:t>.</w:t>
      </w:r>
    </w:p>
  </w:footnote>
  <w:footnote w:id="6">
    <w:p>
      <w:pPr>
        <w:pStyle w:val="Notaderodap"/>
        <w:ind w:left="0" w:hanging="0"/>
        <w:jc w:val="both"/>
        <w:rPr/>
      </w:pPr>
      <w:r>
        <w:rPr>
          <w:rStyle w:val="Caracteresdenotaderodap"/>
        </w:rPr>
        <w:footnoteRef/>
      </w:r>
      <w:r>
        <w:rPr>
          <w:rFonts w:ascii="Times New Roman" w:hAnsi="Times New Roman"/>
        </w:rPr>
        <w:t xml:space="preserve"> </w:t>
      </w:r>
      <w:r>
        <w:rPr>
          <w:rFonts w:ascii="Times New Roman" w:hAnsi="Times New Roman"/>
        </w:rPr>
        <w:t xml:space="preserve">As instituições também ocupam lugar preponderante e com ampla gama de evidências para o crescimento econômico. Sobre instituições, ver </w:t>
      </w:r>
      <w:bookmarkStart w:id="17" w:name="_Hlk81465474"/>
      <w:r>
        <w:rPr>
          <w:rFonts w:ascii="Times New Roman" w:hAnsi="Times New Roman"/>
        </w:rPr>
        <w:t>North (1990, 1998, 2010); Sokoloff &amp; Engerman (2000); Acemoglu et. al (2001, 2012)</w:t>
      </w:r>
      <w:bookmarkEnd w:id="17"/>
      <w:r>
        <w:rPr>
          <w:rFonts w:ascii="Times New Roman" w:hAnsi="Times New Roman"/>
        </w:rPr>
        <w:t>.</w:t>
      </w:r>
    </w:p>
  </w:footnote>
  <w:footnote w:id="7">
    <w:p>
      <w:pPr>
        <w:pStyle w:val="Notaderodap"/>
        <w:ind w:left="0" w:hanging="0"/>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rPr>
        <w:t xml:space="preserve">Para uma revisão em história do pensamento, ver </w:t>
      </w:r>
      <w:bookmarkStart w:id="18" w:name="_Hlk81465857"/>
      <w:r>
        <w:rPr>
          <w:rFonts w:ascii="Times New Roman" w:hAnsi="Times New Roman"/>
        </w:rPr>
        <w:t>Roncaglia (2009)</w:t>
      </w:r>
      <w:bookmarkEnd w:id="18"/>
      <w:r>
        <w:rPr>
          <w:rFonts w:ascii="Times New Roman" w:hAnsi="Times New Roman"/>
        </w:rPr>
        <w:t xml:space="preserve">. </w:t>
      </w:r>
    </w:p>
  </w:footnote>
  <w:footnote w:id="8">
    <w:p>
      <w:pPr>
        <w:pStyle w:val="Notaderodap"/>
        <w:ind w:left="0" w:hanging="0"/>
        <w:rPr/>
      </w:pPr>
      <w:r>
        <w:rPr>
          <w:rStyle w:val="Caracteresdenotaderodap"/>
        </w:rPr>
        <w:footnoteRef/>
      </w:r>
      <w:r>
        <w:rPr/>
        <w:t xml:space="preserve"> </w:t>
      </w:r>
      <w:r>
        <w:rPr>
          <w:rFonts w:ascii="Times New Roman" w:hAnsi="Times New Roman"/>
        </w:rPr>
        <w:t xml:space="preserve">Para uma revisão em crescimento econômico, ver </w:t>
      </w:r>
      <w:bookmarkStart w:id="19" w:name="_Hlk81465867"/>
      <w:r>
        <w:rPr>
          <w:rFonts w:ascii="Times New Roman" w:hAnsi="Times New Roman"/>
        </w:rPr>
        <w:t>Acemoglu (2009) e Jones (2000)</w:t>
      </w:r>
      <w:bookmarkEnd w:id="19"/>
      <w:r>
        <w:rPr>
          <w:rFonts w:ascii="Times New Roman" w:hAnsi="Times New Roman"/>
        </w:rPr>
        <w:t xml:space="preserve">. </w:t>
      </w:r>
    </w:p>
  </w:footnote>
  <w:footnote w:id="9">
    <w:p>
      <w:pPr>
        <w:pStyle w:val="Normal"/>
        <w:jc w:val="both"/>
        <w:rPr>
          <w:sz w:val="20"/>
          <w:szCs w:val="20"/>
        </w:rPr>
      </w:pPr>
      <w:r>
        <w:rPr>
          <w:rStyle w:val="Caracteresdenotaderodap"/>
        </w:rPr>
        <w:footnoteRef/>
      </w:r>
      <w:r>
        <w:rPr>
          <w:rFonts w:ascii="Times New Roman" w:hAnsi="Times New Roman"/>
          <w:sz w:val="20"/>
          <w:szCs w:val="20"/>
        </w:rPr>
        <w:t xml:space="preserve"> </w:t>
      </w:r>
      <w:bookmarkStart w:id="20" w:name="_Hlk81465890"/>
      <w:r>
        <w:rPr>
          <w:rFonts w:ascii="Times New Roman" w:hAnsi="Times New Roman"/>
          <w:sz w:val="20"/>
          <w:szCs w:val="20"/>
        </w:rPr>
        <w:t>Becker (1994)</w:t>
      </w:r>
      <w:bookmarkEnd w:id="20"/>
      <w:r>
        <w:rPr>
          <w:rFonts w:ascii="Times New Roman" w:hAnsi="Times New Roman"/>
          <w:sz w:val="20"/>
          <w:szCs w:val="20"/>
        </w:rPr>
        <w:t xml:space="preserve">, em seu livro </w:t>
      </w:r>
      <w:r>
        <w:rPr>
          <w:rFonts w:ascii="Times New Roman" w:hAnsi="Times New Roman"/>
          <w:i/>
          <w:iCs/>
          <w:sz w:val="20"/>
          <w:szCs w:val="20"/>
        </w:rPr>
        <w:t>Human Capital: A Theoretical and Empirical Analysis</w:t>
      </w:r>
      <w:r>
        <w:rPr>
          <w:rFonts w:ascii="Times New Roman" w:hAnsi="Times New Roman"/>
          <w:sz w:val="20"/>
          <w:szCs w:val="20"/>
        </w:rPr>
        <w:t xml:space="preserve">, de certa forma, compila inúmeras evidências empíricas sobre a importância do capital humano. </w:t>
      </w:r>
    </w:p>
  </w:footnote>
  <w:footnote w:id="10">
    <w:p>
      <w:pPr>
        <w:pStyle w:val="Notaderodap"/>
        <w:ind w:left="0" w:hanging="0"/>
        <w:jc w:val="both"/>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rPr>
        <w:t>Municípios produtores de soja são os municípios que constam registrados a produção de soja. Os 105 foram escolhidos mantendo o painel balanceado, isto é, só foram escolhidos os produtores de 2000 que também produziram em 2010 e vice-versa.</w:t>
      </w:r>
    </w:p>
  </w:footnote>
  <w:footnote w:id="11">
    <w:p>
      <w:pPr>
        <w:pStyle w:val="Notaderodap"/>
        <w:ind w:left="0" w:hanging="0"/>
        <w:jc w:val="both"/>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color w:val="000000"/>
        </w:rPr>
        <w:t>Lembrando que foge do escopo do artigo identificar a existência de uma causalidade ou do simples impacto da produção de soja na renda dos municípios produtores.</w:t>
      </w:r>
    </w:p>
  </w:footnote>
  <w:footnote w:id="12">
    <w:p>
      <w:pPr>
        <w:pStyle w:val="Notaderodap"/>
        <w:ind w:left="0" w:hanging="0"/>
        <w:jc w:val="both"/>
        <w:rPr/>
      </w:pPr>
      <w:r>
        <w:rPr>
          <w:rStyle w:val="Caracteresdenotaderodap"/>
        </w:rPr>
        <w:footnoteRef/>
      </w:r>
      <w:r>
        <w:rPr/>
        <w:t xml:space="preserve"> </w:t>
      </w:r>
      <w:r>
        <w:rPr>
          <w:rFonts w:ascii="Times New Roman" w:hAnsi="Times New Roman"/>
        </w:rPr>
        <w:t xml:space="preserve">Cabe ressaltar que nos anos de 2000 e 2010 o acesso à educação era de forma mais restrita e limitada, assim, apenas o ensino fundamental completo indica um maior acesso à educação. </w:t>
      </w:r>
    </w:p>
  </w:footnote>
  <w:footnote w:id="13">
    <w:p>
      <w:pPr>
        <w:pStyle w:val="Notaderodap"/>
        <w:ind w:left="0" w:hanging="0"/>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rPr>
        <w:t xml:space="preserve">Sobre </w:t>
      </w:r>
      <w:r>
        <w:rPr>
          <w:rFonts w:ascii="Times New Roman" w:hAnsi="Times New Roman"/>
          <w:i/>
          <w:iCs/>
        </w:rPr>
        <w:t>outliers</w:t>
      </w:r>
      <w:r>
        <w:rPr>
          <w:rFonts w:ascii="Times New Roman" w:hAnsi="Times New Roman"/>
        </w:rPr>
        <w:t xml:space="preserve"> e gráficos </w:t>
      </w:r>
      <w:r>
        <w:rPr>
          <w:rFonts w:ascii="Times New Roman" w:hAnsi="Times New Roman"/>
          <w:i/>
          <w:iCs/>
        </w:rPr>
        <w:t>boxplot</w:t>
      </w:r>
      <w:r>
        <w:rPr>
          <w:rFonts w:ascii="Times New Roman" w:hAnsi="Times New Roman"/>
        </w:rPr>
        <w:t xml:space="preserve">, ver </w:t>
      </w:r>
      <w:bookmarkStart w:id="21" w:name="_Hlk81468309"/>
      <w:r>
        <w:rPr>
          <w:rFonts w:ascii="Times New Roman" w:hAnsi="Times New Roman"/>
        </w:rPr>
        <w:t>Bruce &amp; Bruce (2019</w:t>
      </w:r>
      <w:bookmarkEnd w:id="21"/>
      <w:r>
        <w:rPr>
          <w:rFonts w:ascii="Times New Roman" w:hAnsi="Times New Roman"/>
        </w:rPr>
        <w:t>, p. 20-21).</w:t>
      </w:r>
    </w:p>
  </w:footnote>
  <w:footnote w:id="14">
    <w:p>
      <w:pPr>
        <w:pStyle w:val="Notaderodap"/>
        <w:ind w:left="0" w:hanging="0"/>
        <w:rPr/>
      </w:pPr>
      <w:r>
        <w:rPr>
          <w:rStyle w:val="Caracteresdenotaderodap"/>
        </w:rPr>
        <w:footnoteRef/>
      </w:r>
      <w:r>
        <w:rPr/>
        <w:t xml:space="preserve"> </w:t>
      </w:r>
      <w:r>
        <w:rPr>
          <w:rFonts w:ascii="Times New Roman" w:hAnsi="Times New Roman"/>
        </w:rPr>
        <w:t>a preços constantes de 2010.</w:t>
      </w:r>
    </w:p>
  </w:footnote>
  <w:footnote w:id="15">
    <w:p>
      <w:pPr>
        <w:pStyle w:val="Notaderodap"/>
        <w:ind w:left="0" w:hanging="0"/>
        <w:rPr>
          <w:rFonts w:ascii="Times New Roman" w:hAnsi="Times New Roman"/>
        </w:rPr>
      </w:pPr>
      <w:r>
        <w:rPr>
          <w:rStyle w:val="Caracteresdenotaderodap"/>
        </w:rPr>
        <w:footnoteRef/>
      </w:r>
      <w:r>
        <w:rPr>
          <w:rFonts w:ascii="Times New Roman" w:hAnsi="Times New Roman"/>
        </w:rPr>
        <w:t xml:space="preserve"> </w:t>
      </w:r>
      <w:r>
        <w:rPr>
          <w:rFonts w:ascii="Times New Roman" w:hAnsi="Times New Roman"/>
        </w:rPr>
        <w:t xml:space="preserve">Sobre causalidade, ver a rápida revisão sobre o tema em </w:t>
      </w:r>
      <w:bookmarkStart w:id="22" w:name="_Hlk81481527"/>
      <w:r>
        <w:rPr>
          <w:rFonts w:ascii="Times New Roman" w:hAnsi="Times New Roman"/>
        </w:rPr>
        <w:t>Shikida et. al (2021)</w:t>
      </w:r>
      <w:bookmarkEnd w:id="22"/>
      <w:r>
        <w:rPr>
          <w:rFonts w:ascii="Times New Roman" w:hAnsi="Times New Roman"/>
        </w:rPr>
        <w:t>.</w:t>
      </w:r>
    </w:p>
  </w:footnote>
  <w:footnote w:id="16">
    <w:p>
      <w:pPr>
        <w:pStyle w:val="Notaderodap"/>
        <w:ind w:left="0" w:hanging="0"/>
        <w:rPr/>
      </w:pPr>
      <w:r>
        <w:rPr>
          <w:rStyle w:val="Caracteresdenotaderodap"/>
        </w:rPr>
        <w:footnoteRef/>
      </w:r>
      <w:r>
        <w:rPr/>
        <w:t xml:space="preserve"> </w:t>
      </w:r>
      <w:r>
        <w:rPr/>
        <w:t xml:space="preserve">Sobre endogeneidade, ver </w:t>
      </w:r>
      <w:bookmarkStart w:id="23" w:name="_Hlk81481539"/>
      <w:r>
        <w:rPr>
          <w:rFonts w:ascii="Times New Roman" w:hAnsi="Times New Roman"/>
        </w:rPr>
        <w:t xml:space="preserve">Greene </w:t>
      </w:r>
      <w:r>
        <w:rPr/>
        <w:t>(2002)</w:t>
      </w:r>
      <w:bookmarkEnd w:id="23"/>
      <w:r>
        <w:rPr/>
        <w:t>.</w:t>
      </w:r>
    </w:p>
  </w:footnote>
  <w:footnote w:id="17">
    <w:p>
      <w:pPr>
        <w:pStyle w:val="Notaderodap"/>
        <w:ind w:left="0" w:hanging="0"/>
        <w:jc w:val="both"/>
        <w:rPr/>
      </w:pPr>
      <w:r>
        <w:rPr>
          <w:rStyle w:val="Caracteresdenotaderodap"/>
        </w:rPr>
        <w:footnoteRef/>
      </w:r>
      <w:r>
        <w:rPr/>
        <w:t xml:space="preserve"> </w:t>
      </w:r>
      <w:r>
        <w:rPr>
          <w:rFonts w:ascii="Times New Roman" w:hAnsi="Times New Roman"/>
        </w:rPr>
        <w:t>Especificando o modelo com os não produtores de soja, encontra-se um coeficiente mais elevado para a escolaridade. Pois, sem os devidos controles, a regressão acaba por superestimar o efeito da escolaridade na renda.</w:t>
      </w:r>
    </w:p>
  </w:footnote>
  <w:footnote w:id="18">
    <w:p>
      <w:pPr>
        <w:pStyle w:val="Notaderodap"/>
        <w:ind w:left="0" w:hanging="0"/>
        <w:rPr/>
      </w:pPr>
      <w:r>
        <w:rPr>
          <w:rStyle w:val="Caracteresdenotaderodap"/>
        </w:rPr>
        <w:footnoteRef/>
      </w:r>
      <w:r>
        <w:rPr/>
        <w:t xml:space="preserve"> </w:t>
      </w:r>
      <w:r>
        <w:rPr>
          <w:rFonts w:ascii="Times New Roman" w:hAnsi="Times New Roman"/>
        </w:rPr>
        <w:t xml:space="preserve">Ver, </w:t>
      </w:r>
      <w:bookmarkStart w:id="24" w:name="_Hlk81481766"/>
      <w:r>
        <w:rPr>
          <w:rFonts w:ascii="Times New Roman" w:hAnsi="Times New Roman"/>
        </w:rPr>
        <w:t>Greene (2002) e Wooldridge (2010)</w:t>
      </w:r>
      <w:bookmarkEnd w:id="24"/>
      <w:r>
        <w:rPr>
          <w:rFonts w:ascii="Times New Roman" w:hAnsi="Times New Roman"/>
        </w:rPr>
        <w:t xml:space="preserve">. </w:t>
      </w:r>
    </w:p>
  </w:footnote>
  <w:footnote w:id="19">
    <w:p>
      <w:pPr>
        <w:pStyle w:val="Notaderodap"/>
        <w:ind w:left="0" w:hanging="0"/>
        <w:rPr/>
      </w:pPr>
      <w:r>
        <w:rPr>
          <w:rStyle w:val="Caracteresdenotaderodap"/>
        </w:rPr>
        <w:footnoteRef/>
      </w:r>
      <w:r>
        <w:rPr/>
        <w:t xml:space="preserve"> </w:t>
      </w:r>
      <w:r>
        <w:rPr>
          <w:rFonts w:ascii="Times New Roman" w:hAnsi="Times New Roman"/>
        </w:rPr>
        <w:t xml:space="preserve">Sobre testes de normalidade, ver Yazici &amp; Yolacan (2007)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7992557"/>
    </w:sdtPr>
    <w:sdtContent>
      <w:p>
        <w:pPr>
          <w:pStyle w:val="Cabealho"/>
          <w:jc w:val="right"/>
          <w:rPr/>
        </w:pPr>
        <w:r>
          <w:rPr/>
          <w:fldChar w:fldCharType="begin"/>
        </w:r>
        <w:r>
          <w:rPr/>
          <w:instrText> PAGE </w:instrText>
        </w:r>
        <w:r>
          <w:rPr/>
          <w:fldChar w:fldCharType="separate"/>
        </w:r>
        <w:r>
          <w:rPr/>
          <w:t>19</w:t>
        </w:r>
        <w:r>
          <w:rPr/>
          <w:fldChar w:fldCharType="end"/>
        </w:r>
      </w:p>
    </w:sdtContent>
  </w:sdt>
  <w:p>
    <w:pPr>
      <w:pStyle w:val="Cabealho"/>
      <w:rPr/>
    </w:pPr>
    <w:r>
      <w:rPr/>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fase">
    <w:name w:val="Ênfase"/>
    <w:qFormat/>
    <w:rPr>
      <w:i/>
      <w:iCs/>
    </w:rPr>
  </w:style>
  <w:style w:type="character" w:styleId="Nfaseforte" w:customStyle="1">
    <w:name w:val="Ênfase forte"/>
    <w:qFormat/>
    <w:rPr>
      <w:b/>
      <w:bCs/>
    </w:rPr>
  </w:style>
  <w:style w:type="character" w:styleId="LinkdaInternet" w:customStyle="1">
    <w:name w:val="Link da Internet"/>
    <w:rPr>
      <w:color w:val="000080"/>
      <w:u w:val="single"/>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CabealhoChar" w:customStyle="1">
    <w:name w:val="Cabeçalho Char"/>
    <w:basedOn w:val="DefaultParagraphFont"/>
    <w:link w:val="Cabealho"/>
    <w:uiPriority w:val="99"/>
    <w:qFormat/>
    <w:rsid w:val="0094428f"/>
    <w:rPr>
      <w:szCs w:val="21"/>
    </w:rPr>
  </w:style>
  <w:style w:type="character" w:styleId="RodapChar" w:customStyle="1">
    <w:name w:val="Rodapé Char"/>
    <w:basedOn w:val="DefaultParagraphFont"/>
    <w:link w:val="Rodap"/>
    <w:uiPriority w:val="99"/>
    <w:qFormat/>
    <w:rsid w:val="0094428f"/>
    <w:rPr>
      <w:szCs w:val="21"/>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Notaderodap">
    <w:name w:val="Footnote Text"/>
    <w:basedOn w:val="Normal"/>
    <w:pPr>
      <w:suppressLineNumbers/>
      <w:ind w:left="339" w:hanging="339"/>
    </w:pPr>
    <w:rPr>
      <w:sz w:val="20"/>
      <w:szCs w:val="20"/>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94428f"/>
    <w:pPr>
      <w:tabs>
        <w:tab w:val="clear" w:pos="720"/>
        <w:tab w:val="center" w:pos="4252" w:leader="none"/>
        <w:tab w:val="right" w:pos="8504" w:leader="none"/>
      </w:tabs>
    </w:pPr>
    <w:rPr>
      <w:szCs w:val="21"/>
    </w:rPr>
  </w:style>
  <w:style w:type="paragraph" w:styleId="Rodap">
    <w:name w:val="Footer"/>
    <w:basedOn w:val="Normal"/>
    <w:link w:val="RodapChar"/>
    <w:uiPriority w:val="99"/>
    <w:unhideWhenUsed/>
    <w:rsid w:val="0094428f"/>
    <w:pPr>
      <w:tabs>
        <w:tab w:val="clear" w:pos="720"/>
        <w:tab w:val="center" w:pos="4252" w:leader="none"/>
        <w:tab w:val="right" w:pos="8504" w:leader="none"/>
      </w:tabs>
    </w:pPr>
    <w:rPr>
      <w:szCs w:val="21"/>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ea7f5c"/>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Application>LibreOffice/6.4.7.2$Linux_X86_64 LibreOffice_project/40$Build-2</Application>
  <Pages>19</Pages>
  <Words>5345</Words>
  <Characters>29662</Characters>
  <CharactersWithSpaces>34964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2021-09-02T11:07:00Z</dcterms:created>
  <dc:creator>Gabriel</dc:creator>
  <dc:description/>
  <dc:language>pt-BR</dc:language>
  <cp:lastModifiedBy/>
  <dcterms:modified xsi:type="dcterms:W3CDTF">2023-03-07T00:31:25Z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