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073" w:type="dxa"/>
        <w:tblInd w:w="-289" w:type="dxa"/>
        <w:tblLook w:val="04A0" w:firstRow="1" w:lastRow="0" w:firstColumn="1" w:lastColumn="0" w:noHBand="0" w:noVBand="1"/>
      </w:tblPr>
      <w:tblGrid>
        <w:gridCol w:w="6096"/>
        <w:gridCol w:w="2977"/>
      </w:tblGrid>
      <w:tr w:rsidR="0061748D" w14:paraId="78105FE4" w14:textId="77777777" w:rsidTr="003B6178">
        <w:trPr>
          <w:trHeight w:val="672"/>
        </w:trPr>
        <w:tc>
          <w:tcPr>
            <w:tcW w:w="6096" w:type="dxa"/>
          </w:tcPr>
          <w:p w14:paraId="46F0CAFA" w14:textId="77777777" w:rsidR="0061748D" w:rsidRDefault="006174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Nome: </w:t>
            </w:r>
          </w:p>
          <w:p w14:paraId="31C367F3" w14:textId="330E27A5" w:rsidR="008B1050" w:rsidRPr="003B6178" w:rsidRDefault="00DE1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Luiz Paulo Medeiros da Cunha Júnior</w:t>
            </w:r>
          </w:p>
        </w:tc>
        <w:tc>
          <w:tcPr>
            <w:tcW w:w="2977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</w:tcPr>
          <w:p w14:paraId="0B3F04E3" w14:textId="77777777" w:rsidR="0061748D" w:rsidRDefault="006174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Matrícula: </w:t>
            </w:r>
          </w:p>
          <w:p w14:paraId="30779EB5" w14:textId="283646ED" w:rsidR="008B1050" w:rsidRPr="008B1050" w:rsidRDefault="00DE1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202310962</w:t>
            </w:r>
          </w:p>
        </w:tc>
      </w:tr>
      <w:tr w:rsidR="0061748D" w14:paraId="70ACDA1E" w14:textId="77777777" w:rsidTr="003B6178">
        <w:trPr>
          <w:trHeight w:val="695"/>
        </w:trPr>
        <w:tc>
          <w:tcPr>
            <w:tcW w:w="6096" w:type="dxa"/>
          </w:tcPr>
          <w:p w14:paraId="221C1377" w14:textId="77777777" w:rsidR="0061748D" w:rsidRDefault="008B10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Disciplina:</w:t>
            </w:r>
          </w:p>
          <w:p w14:paraId="273B9B60" w14:textId="49D8DDB7" w:rsidR="008B1050" w:rsidRPr="003B6178" w:rsidRDefault="00DE1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Economia</w:t>
            </w:r>
          </w:p>
        </w:tc>
        <w:tc>
          <w:tcPr>
            <w:tcW w:w="2977" w:type="dxa"/>
            <w:tcBorders>
              <w:top w:val="single" w:sz="4" w:space="0" w:color="1F3864" w:themeColor="accent1" w:themeShade="80"/>
            </w:tcBorders>
          </w:tcPr>
          <w:p w14:paraId="201994A5" w14:textId="77777777" w:rsidR="0061748D" w:rsidRDefault="006174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Data de Entrega: </w:t>
            </w:r>
          </w:p>
          <w:p w14:paraId="34C47AEE" w14:textId="0FBD3BD7" w:rsidR="008B1050" w:rsidRPr="008B1050" w:rsidRDefault="00DE1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25/06/2023</w:t>
            </w:r>
          </w:p>
        </w:tc>
      </w:tr>
      <w:tr w:rsidR="008B1050" w14:paraId="76A76D50" w14:textId="77777777" w:rsidTr="008B1050">
        <w:trPr>
          <w:trHeight w:val="703"/>
        </w:trPr>
        <w:tc>
          <w:tcPr>
            <w:tcW w:w="9073" w:type="dxa"/>
            <w:gridSpan w:val="2"/>
          </w:tcPr>
          <w:p w14:paraId="30301A02" w14:textId="77777777" w:rsidR="008B1050" w:rsidRDefault="008B10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Curso:</w:t>
            </w:r>
          </w:p>
          <w:p w14:paraId="4439C0D4" w14:textId="0ADD9C64" w:rsidR="008B1050" w:rsidRPr="008B1050" w:rsidRDefault="00DE1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Tads</w:t>
            </w:r>
          </w:p>
        </w:tc>
      </w:tr>
    </w:tbl>
    <w:p w14:paraId="6B009372" w14:textId="102568FD" w:rsidR="0061748D" w:rsidRDefault="0061748D"/>
    <w:p w14:paraId="06396D08" w14:textId="46A54793" w:rsidR="0061748D" w:rsidRPr="00875BA6" w:rsidRDefault="008B1050" w:rsidP="003B6178">
      <w:pPr>
        <w:jc w:val="center"/>
        <w:rPr>
          <w:rFonts w:ascii="Arial" w:hAnsi="Arial" w:cs="Arial"/>
          <w:b/>
          <w:bCs/>
        </w:rPr>
      </w:pPr>
      <w:r w:rsidRPr="00875BA6">
        <w:rPr>
          <w:rFonts w:ascii="Arial" w:hAnsi="Arial" w:cs="Arial"/>
          <w:b/>
          <w:bCs/>
        </w:rPr>
        <w:t>ATPS – ATIVIDADE TEÓRICO-PRÁTICA SUPERVISIONADA</w:t>
      </w:r>
    </w:p>
    <w:p w14:paraId="1CAA6F74" w14:textId="1191CD7D" w:rsidR="0061748D" w:rsidRPr="00875BA6" w:rsidRDefault="0061748D">
      <w:pPr>
        <w:rPr>
          <w:rFonts w:ascii="Arial" w:hAnsi="Arial" w:cs="Arial"/>
        </w:rPr>
      </w:pPr>
    </w:p>
    <w:p w14:paraId="0871F3C5" w14:textId="60536247" w:rsidR="00101E31" w:rsidRPr="0093635A" w:rsidRDefault="00101E31" w:rsidP="00101E3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3635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Video games e jogos oferta e demanda</w:t>
      </w:r>
    </w:p>
    <w:p w14:paraId="7EA8D7DD" w14:textId="77777777" w:rsidR="00101E31" w:rsidRPr="00875BA6" w:rsidRDefault="00101E31" w:rsidP="00101E31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01E31">
        <w:rPr>
          <w:rFonts w:ascii="Arial" w:eastAsia="Times New Roman" w:hAnsi="Arial" w:cs="Arial"/>
          <w:lang w:eastAsia="pt-BR"/>
        </w:rPr>
        <w:t xml:space="preserve">A oferta e demanda do video games e games nesses ultimos dois anos , houve aumento e impulsão na época de COVID - 19. As pessoa buscaram formas de entreterimento durante este periodos de isolamento social . Alem disso foi lançados novos consoles ,como o playstation 5 e o xbox series X-XS , ouve impulsão de demanda . No entanto , oferta de consoles e jogos teve desafios a passar . A pandemia impactou a cadeia de suprimentos, afetando a produção e a distribuição de video games da nova geração . A escassez de semicondutores, componentes essenciais para a fabricação de consoles, também limitou a oferta. Esses fatores resultaram em baixos estoques e dificuldades para atender à demanda crescente. Em relação aos custos teve oscilações de preço durante a COVID-19 , aumentaram devido à escassez e à alta demanda. Além disso, a revenda de consoles a preços </w:t>
      </w:r>
      <w:r w:rsidRPr="00875BA6">
        <w:rPr>
          <w:rFonts w:ascii="Arial" w:eastAsia="Times New Roman" w:hAnsi="Arial" w:cs="Arial"/>
          <w:lang w:eastAsia="pt-BR"/>
        </w:rPr>
        <w:t xml:space="preserve">de custo alto </w:t>
      </w:r>
      <w:r w:rsidRPr="00101E31">
        <w:rPr>
          <w:rFonts w:ascii="Arial" w:eastAsia="Times New Roman" w:hAnsi="Arial" w:cs="Arial"/>
          <w:lang w:eastAsia="pt-BR"/>
        </w:rPr>
        <w:t>se tornou comum, causando insatisfação entre os consumidores. À medida que a oferta aumentou gradualmente, os preços começaram a se estabilizar e, em alguns casos, até mesmo diminuíram.</w:t>
      </w:r>
    </w:p>
    <w:p w14:paraId="49F248E1" w14:textId="77777777" w:rsidR="00875BA6" w:rsidRDefault="00101E31" w:rsidP="00101E31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875BA6">
        <w:rPr>
          <w:rFonts w:ascii="Arial" w:hAnsi="Arial" w:cs="Arial"/>
        </w:rPr>
        <w:t xml:space="preserve">Quanto à produtos substitutos, a indústria de video games é diversificada e abrange várias plataformas. Os jogos para </w:t>
      </w:r>
      <w:r w:rsidR="00875BA6">
        <w:rPr>
          <w:rFonts w:ascii="Arial" w:hAnsi="Arial" w:cs="Arial"/>
        </w:rPr>
        <w:t xml:space="preserve"> computadores </w:t>
      </w:r>
      <w:r w:rsidRPr="00875BA6">
        <w:rPr>
          <w:rFonts w:ascii="Arial" w:hAnsi="Arial" w:cs="Arial"/>
        </w:rPr>
        <w:t xml:space="preserve">, podem ser considerados substitutos dos consoles, pois oferecem uma experiência de jogo similar. Além disso, os jogos para dispositivos móveis também competem com os consoles em termos de entretenimento digital. </w:t>
      </w:r>
      <w:r w:rsidR="00875BA6">
        <w:rPr>
          <w:rFonts w:ascii="Arial" w:hAnsi="Arial" w:cs="Arial"/>
        </w:rPr>
        <w:t>M</w:t>
      </w:r>
      <w:r w:rsidRPr="00875BA6">
        <w:rPr>
          <w:rFonts w:ascii="Arial" w:hAnsi="Arial" w:cs="Arial"/>
        </w:rPr>
        <w:t xml:space="preserve">uitos </w:t>
      </w:r>
      <w:r w:rsidR="00875BA6">
        <w:rPr>
          <w:rFonts w:ascii="Arial" w:hAnsi="Arial" w:cs="Arial"/>
        </w:rPr>
        <w:t>consumidores</w:t>
      </w:r>
      <w:r w:rsidRPr="00875BA6">
        <w:rPr>
          <w:rFonts w:ascii="Arial" w:hAnsi="Arial" w:cs="Arial"/>
        </w:rPr>
        <w:t xml:space="preserve"> de video games preferem a experiência oferecida pelos consoles de última geração devido à sua potência e aos jogos exclusivos.</w:t>
      </w:r>
      <w:r w:rsidRPr="00101E31">
        <w:rPr>
          <w:rFonts w:ascii="Arial" w:eastAsia="Times New Roman" w:hAnsi="Arial" w:cs="Arial"/>
          <w:lang w:eastAsia="pt-BR"/>
        </w:rPr>
        <w:t xml:space="preserve"> Quanto à classificação do bem, video games podem ser considerados bens normais. À medida que a renda dos consumidores aumenta, eles tendem a gastar mais em entretenimento e lazer, incluindo video games. No entanto, existem também bens inferiores no mercado de video games, como jogos mais antigos ou consoles mais antigos, que podem ser mais acessíveis a consumidores com renda mais baixa. Sobre a oferta e demanda de video games,</w:t>
      </w:r>
      <w:r w:rsidRPr="00875BA6">
        <w:rPr>
          <w:rFonts w:ascii="Arial" w:eastAsia="Times New Roman" w:hAnsi="Arial" w:cs="Arial"/>
          <w:lang w:eastAsia="pt-BR"/>
        </w:rPr>
        <w:t xml:space="preserve"> </w:t>
      </w:r>
      <w:r w:rsidRPr="00101E31">
        <w:rPr>
          <w:rFonts w:ascii="Arial" w:eastAsia="Times New Roman" w:hAnsi="Arial" w:cs="Arial"/>
          <w:lang w:eastAsia="pt-BR"/>
        </w:rPr>
        <w:t xml:space="preserve">podemos concluir que uma preocupação importante é a escassez de estoque e as dificuldades enfrentadas pelos consumidores para adquirir os produtos desejados a preços justos. A falta de transparência na distribuição e as práticas de revenda a preços exorbitantes prejudicaram a experiência do consumidor e geraram frustração. Poderiam investir em medidas para garantir uma distribuição mais equitativa e combater este aumento de preços. Além disso, a indústria poderia buscar soluções para a escassez de componentes, diversificando suas fontes de fornecimento e investindo em alternativas tecnológicas. Isso ajudaria a atender à demanda crescente e melhorar a disponibilidade dos produtos para os consumidores. </w:t>
      </w:r>
    </w:p>
    <w:p w14:paraId="6F531C79" w14:textId="5B94D17E" w:rsidR="00875BA6" w:rsidRDefault="00875BA6" w:rsidP="00875BA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noProof/>
        </w:rPr>
        <w:lastRenderedPageBreak/>
        <w:drawing>
          <wp:inline distT="0" distB="0" distL="0" distR="0" wp14:anchorId="48AB4211" wp14:editId="124EF355">
            <wp:extent cx="5267325" cy="1435755"/>
            <wp:effectExtent l="0" t="0" r="0" b="0"/>
            <wp:docPr id="54430629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752" cy="144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0AA9D" w14:textId="77777777" w:rsidR="00875BA6" w:rsidRDefault="00875BA6" w:rsidP="00101E31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</w:p>
    <w:p w14:paraId="1578C492" w14:textId="6EE2BF45" w:rsidR="00101E31" w:rsidRPr="00101E31" w:rsidRDefault="00101E31" w:rsidP="00101E31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01E31">
        <w:rPr>
          <w:rFonts w:ascii="Arial" w:eastAsia="Times New Roman" w:hAnsi="Arial" w:cs="Arial"/>
          <w:lang w:eastAsia="pt-BR"/>
        </w:rPr>
        <w:t>Bibliografia</w:t>
      </w:r>
    </w:p>
    <w:p w14:paraId="5519BEEC" w14:textId="77777777" w:rsidR="00101E31" w:rsidRPr="00101E31" w:rsidRDefault="00101E31" w:rsidP="00101E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history="1">
        <w:r w:rsidRPr="00101E31">
          <w:rPr>
            <w:rFonts w:ascii="Arial" w:eastAsia="Times New Roman" w:hAnsi="Arial" w:cs="Arial"/>
            <w:color w:val="0000FF"/>
            <w:u w:val="single"/>
            <w:lang w:eastAsia="pt-BR"/>
          </w:rPr>
          <w:t>https://g1.globo.com/sp/campinas-regiao/especial-publicitario/facamp/a-faculdade-de-ensino-superior/noticia/2022/09/15/aumento-na-demanda-do-mercado-de-games-traz-oportunidades-para-designers.ghtml</w:t>
        </w:r>
      </w:hyperlink>
    </w:p>
    <w:p w14:paraId="57BE522D" w14:textId="77777777" w:rsidR="00101E31" w:rsidRPr="00101E31" w:rsidRDefault="00101E31" w:rsidP="00101E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9" w:history="1">
        <w:r w:rsidRPr="00101E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https://valorinveste.globo.com/objetivo/gastar-bem/noticia/2021/01/23/com-pandemia-mercado-de-games-cresce-140percent-no-brasil-aponta-estudo.ghtml</w:t>
        </w:r>
      </w:hyperlink>
    </w:p>
    <w:p w14:paraId="3B637E83" w14:textId="77777777" w:rsidR="00101E31" w:rsidRDefault="00101E31" w:rsidP="00101E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0" w:history="1">
        <w:r w:rsidRPr="00101E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https://www.adrenaline.com.br/games/infografico-mostra-evolucao-do-faturamento-dos-games-de-1971-a-2018/</w:t>
        </w:r>
      </w:hyperlink>
    </w:p>
    <w:p w14:paraId="0DBDD405" w14:textId="5741F0C7" w:rsidR="00875BA6" w:rsidRPr="00101E31" w:rsidRDefault="00875BA6" w:rsidP="00101E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1" w:history="1">
        <w:r>
          <w:rPr>
            <w:rStyle w:val="link-annotation-unknown-block-id-103943992"/>
            <w:color w:val="0000FF"/>
            <w:u w:val="single"/>
          </w:rPr>
          <w:t>https://www.adrenaline.com.br/games/infografico-mostra-evolucao-do-faturamento-dos-games-de-1971-a-2018/</w:t>
        </w:r>
      </w:hyperlink>
    </w:p>
    <w:p w14:paraId="58076AE3" w14:textId="5581CDC5" w:rsidR="003B6178" w:rsidRDefault="003B6178">
      <w:pPr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3B6178">
        <w:rPr>
          <w:rFonts w:ascii="Times New Roman" w:hAnsi="Times New Roman" w:cs="Times New Roman"/>
          <w:i/>
          <w:iCs/>
          <w:color w:val="C00000"/>
          <w:sz w:val="24"/>
          <w:szCs w:val="24"/>
        </w:rPr>
        <w:t>.</w:t>
      </w:r>
    </w:p>
    <w:p w14:paraId="0236C02B" w14:textId="31C8EC1D" w:rsidR="00875BA6" w:rsidRPr="00875BA6" w:rsidRDefault="00875BA6" w:rsidP="00875BA6">
      <w:pPr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875BA6">
        <w:rPr>
          <w:rFonts w:ascii="Times New Roman" w:hAnsi="Times New Roman" w:cs="Times New Roman"/>
          <w:i/>
          <w:iCs/>
          <w:color w:val="C00000"/>
          <w:sz w:val="24"/>
          <w:szCs w:val="24"/>
        </w:rPr>
        <mc:AlternateContent>
          <mc:Choice Requires="wps">
            <w:drawing>
              <wp:inline distT="0" distB="0" distL="0" distR="0" wp14:anchorId="5EF899F2" wp14:editId="608D8F8D">
                <wp:extent cx="304800" cy="304800"/>
                <wp:effectExtent l="0" t="0" r="0" b="0"/>
                <wp:docPr id="1893228809" name="Retângulo 2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1114A0" id="Retângulo 2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992E226" w14:textId="77777777" w:rsidR="00DE1C07" w:rsidRPr="003B6178" w:rsidRDefault="00DE1C07">
      <w:pPr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</w:p>
    <w:sectPr w:rsidR="00DE1C07" w:rsidRPr="003B617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E421F" w14:textId="77777777" w:rsidR="005D5315" w:rsidRDefault="005D5315" w:rsidP="0061748D">
      <w:pPr>
        <w:spacing w:after="0" w:line="240" w:lineRule="auto"/>
      </w:pPr>
      <w:r>
        <w:separator/>
      </w:r>
    </w:p>
  </w:endnote>
  <w:endnote w:type="continuationSeparator" w:id="0">
    <w:p w14:paraId="4B2DD37D" w14:textId="77777777" w:rsidR="005D5315" w:rsidRDefault="005D5315" w:rsidP="00617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3C314" w14:textId="77777777" w:rsidR="0061748D" w:rsidRDefault="0061748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F9FBB" w14:textId="77777777" w:rsidR="0061748D" w:rsidRDefault="0061748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19982" w14:textId="77777777" w:rsidR="0061748D" w:rsidRDefault="006174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197F9" w14:textId="77777777" w:rsidR="005D5315" w:rsidRDefault="005D5315" w:rsidP="0061748D">
      <w:pPr>
        <w:spacing w:after="0" w:line="240" w:lineRule="auto"/>
      </w:pPr>
      <w:r>
        <w:separator/>
      </w:r>
    </w:p>
  </w:footnote>
  <w:footnote w:type="continuationSeparator" w:id="0">
    <w:p w14:paraId="707EE609" w14:textId="77777777" w:rsidR="005D5315" w:rsidRDefault="005D5315" w:rsidP="00617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609E4" w14:textId="42530728" w:rsidR="0061748D" w:rsidRDefault="00000000">
    <w:pPr>
      <w:pStyle w:val="Cabealho"/>
    </w:pPr>
    <w:r>
      <w:rPr>
        <w:noProof/>
      </w:rPr>
      <w:pict w14:anchorId="064652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414704" o:spid="_x0000_s1026" type="#_x0000_t75" style="position:absolute;margin-left:0;margin-top:0;width:595.45pt;height:842.05pt;z-index:-251657216;mso-position-horizontal:center;mso-position-horizontal-relative:margin;mso-position-vertical:center;mso-position-vertical-relative:margin" o:allowincell="f">
          <v:imagedata r:id="rId1" o:title="Fundo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035F5" w14:textId="52CCC2CC" w:rsidR="0061748D" w:rsidRDefault="00000000">
    <w:pPr>
      <w:pStyle w:val="Cabealho"/>
    </w:pPr>
    <w:r>
      <w:rPr>
        <w:noProof/>
      </w:rPr>
      <w:pict w14:anchorId="1459FC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414705" o:spid="_x0000_s1027" type="#_x0000_t75" style="position:absolute;margin-left:0;margin-top:0;width:595.45pt;height:842.05pt;z-index:-251656192;mso-position-horizontal:center;mso-position-horizontal-relative:margin;mso-position-vertical:center;mso-position-vertical-relative:margin" o:allowincell="f">
          <v:imagedata r:id="rId1" o:title="Fundo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A832B" w14:textId="70B765FC" w:rsidR="0061748D" w:rsidRDefault="00000000">
    <w:pPr>
      <w:pStyle w:val="Cabealho"/>
    </w:pPr>
    <w:r>
      <w:rPr>
        <w:noProof/>
      </w:rPr>
      <w:pict w14:anchorId="46D05B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414703" o:spid="_x0000_s1025" type="#_x0000_t75" style="position:absolute;margin-left:0;margin-top:0;width:595.45pt;height:842.05pt;z-index:-251658240;mso-position-horizontal:center;mso-position-horizontal-relative:margin;mso-position-vertical:center;mso-position-vertical-relative:margin" o:allowincell="f">
          <v:imagedata r:id="rId1" o:title="Fundo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70722"/>
    <w:multiLevelType w:val="multilevel"/>
    <w:tmpl w:val="8C66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879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8D"/>
    <w:rsid w:val="00101E31"/>
    <w:rsid w:val="00290980"/>
    <w:rsid w:val="003B6178"/>
    <w:rsid w:val="005D5315"/>
    <w:rsid w:val="0061748D"/>
    <w:rsid w:val="00875BA6"/>
    <w:rsid w:val="008B1050"/>
    <w:rsid w:val="0093635A"/>
    <w:rsid w:val="009A7514"/>
    <w:rsid w:val="00B53E80"/>
    <w:rsid w:val="00C6378B"/>
    <w:rsid w:val="00C929A7"/>
    <w:rsid w:val="00DE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5F1F5C"/>
  <w15:chartTrackingRefBased/>
  <w15:docId w15:val="{748582B3-8C56-4E05-A5ED-93E77DE0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74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748D"/>
  </w:style>
  <w:style w:type="paragraph" w:styleId="Rodap">
    <w:name w:val="footer"/>
    <w:basedOn w:val="Normal"/>
    <w:link w:val="RodapChar"/>
    <w:uiPriority w:val="99"/>
    <w:unhideWhenUsed/>
    <w:rsid w:val="006174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748D"/>
  </w:style>
  <w:style w:type="table" w:styleId="Tabelacomgrade">
    <w:name w:val="Table Grid"/>
    <w:basedOn w:val="Tabelanormal"/>
    <w:uiPriority w:val="39"/>
    <w:rsid w:val="00617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01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01E31"/>
    <w:rPr>
      <w:color w:val="0000FF"/>
      <w:u w:val="single"/>
    </w:rPr>
  </w:style>
  <w:style w:type="character" w:customStyle="1" w:styleId="link-annotation-unknown-block-id-103943992">
    <w:name w:val="link-annotation-unknown-block-id-103943992"/>
    <w:basedOn w:val="Fontepargpadro"/>
    <w:rsid w:val="00875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1.globo.com/sp/campinas-regiao/especial-publicitario/facamp/a-faculdade-de-ensino-superior/noticia/2022/09/15/aumento-na-demanda-do-mercado-de-games-traz-oportunidades-para-designers.ghtm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drenaline.com.br/games/infografico-mostra-evolucao-do-faturamento-dos-games-de-1971-a-2018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adrenaline.com.br/games/infografico-mostra-evolucao-do-faturamento-dos-games-de-1971-a-2018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valorinveste.globo.com/objetivo/gastar-bem/noticia/2021/01/23/com-pandemia-mercado-de-games-cresce-140percent-no-brasil-aponta-estudo.ghtm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641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Thamires Alencar</dc:creator>
  <cp:keywords/>
  <dc:description/>
  <cp:lastModifiedBy>Juninho paulo</cp:lastModifiedBy>
  <cp:revision>3</cp:revision>
  <dcterms:created xsi:type="dcterms:W3CDTF">2023-06-15T04:16:00Z</dcterms:created>
  <dcterms:modified xsi:type="dcterms:W3CDTF">2023-06-16T21:35:00Z</dcterms:modified>
</cp:coreProperties>
</file>