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Estimativa de custo e orçamento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Recursos humanos: valor por hora do recurso x duração em horas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Hora de trabalho equipe caroninhas: R$ 32,00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Duração do total de sprints: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1: 50 horas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2: 56 horas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3: 40 horas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4: 50 horas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5: 62 horas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6: 57 horas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7: 76 horas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total: 391 horas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Custo total de recursos humanos: 32 x 391 =  R$ 12.512,00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Recursos de capital: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Plano gratuito Azure (servidores e banco de dados)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Plano gratuito Atlassian (Gestão)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Plano gratuito Miro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total: R$ 0,00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Recursos de consumo: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Gastos de eletricidade: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Gasto estimado por hora = 0.5107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Gasto elétrico total = 0.5107 * 391 =  R$ 199.68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Plano gratuito Azure (servidores e banco de dados)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total: R$ 0,00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Custo total: R$ 12.711,68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Orçamento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margem de lucro: ~ 40%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Total: custos + lucro = ~ R$ 18.000,00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Cronograma de desembolsos: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Primeira apresentação: R$ 9.000,00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Segunda apresentação: R$ 9.000,00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Orçamento final: R$ 18.000,00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GLztcHkC7XidHrczU4qVtlhG+Q==">CgMxLjA4AHIhMUduVnhsUXRJcU43MVdLSHdQU29oNk8wT3g0MndMc0hZ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