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Protocolo de Adaptação de Avaliações — Ciclo</w:t>
      </w:r>
    </w:p>
    <w:p>
      <w:pPr>
        <w:spacing w:after="100" w:before="100"/>
      </w:pPr>
      <w:r>
        <w:t xml:space="preserve">Versão: 0.1 | Data: 13/07/2026 | Classificação: Documento interno — uso restrito</w:t>
      </w:r>
    </w:p>
    <w:p>
      <w:pPr>
        <w:spacing w:after="100" w:before="100"/>
      </w:pPr>
      <w:r>
        <w:t xml:space="preserve">Parecerista pedagógica: Cristiane Delfim dos Santos | Arquivo: documento_pedagoga_01</w:t>
      </w:r>
    </w:p>
    <w:p>
      <w:pPr>
        <w:spacing w:after="0" w:before="200"/>
      </w:pPr>
    </w:p>
    <w:p>
      <w:pPr>
        <w:pStyle w:val="Heading2"/>
        <w:spacing w:after="150" w:before="300"/>
      </w:pPr>
      <w:r>
        <w:t xml:space="preserve">1. Finalidade</w:t>
      </w:r>
    </w:p>
    <w:p>
      <w:pPr>
        <w:spacing w:after="100" w:before="100"/>
      </w:pPr>
      <w:r>
        <w:t xml:space="preserve">Este protocolo documenta as regras que o agente ADAPTER aplica ao adaptar avaliações para alunos com barreiras funcionais cadastradas. Cada regra é rastreada a uma fonte (pedagógica, legal ou normativa).</w:t>
      </w:r>
    </w:p>
    <w:p>
      <w:pPr>
        <w:spacing w:after="100" w:before="100"/>
      </w:pPr>
      <w:r>
        <w:t xml:space="preserve">O protocolo é o embasamento auditável do produto — substituto à chancela institucional. Cada técnica sem fonte está marcada como PENDENTE e deve ser completada pela parecerista pedagógica antes da publicação do MVP.</w:t>
      </w:r>
    </w:p>
    <w:p>
      <w:pPr>
        <w:spacing w:after="0" w:before="200"/>
      </w:pPr>
    </w:p>
    <w:p>
      <w:pPr>
        <w:pStyle w:val="Heading2"/>
        <w:spacing w:after="150" w:before="300"/>
      </w:pPr>
      <w:r>
        <w:t xml:space="preserve">2. Guardrails Determinísticos (vão para código, não para prompt)</w:t>
      </w:r>
    </w:p>
    <w:p>
      <w:pPr>
        <w:spacing w:after="100" w:before="100"/>
      </w:pPr>
      <w:r>
        <w:t xml:space="preserve">Guardrails são regras que o sistema aplica de forma determinística — independente do que o LLM gere. Não podem ser desativados pelo professor nem sobrescritos por nenhum agente.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G1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NUNCA quebrar página entre texto-base e perguntas, nem entre questão, alternativas e espaço de resposta. O bloco é indivisível.</w:t>
            </w:r>
          </w:p>
        </w:tc>
      </w:tr>
      <w:tr>
        <w:tc>
          <w:tcPr>
            <w:tcW w:type="dxa" w:w="8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REG-01 — precedência sobre "1 questão por página" (ATN-01).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G2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Destaque de comando: caixa alta + fundo cinza 10% + borda. Nunca cor saturada. Nunca empilhar todos os destaques ao mesmo tempo.</w:t>
            </w:r>
          </w:p>
        </w:tc>
      </w:tr>
      <w:tr>
        <w:tc>
          <w:tcPr>
            <w:tcW w:type="dxa" w:w="8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SEN-02 + SEN-02b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G3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Sinônimo permitido apenas quando SIMPLIFICA. Proibido sinônimo que amplia vocabulário.</w:t>
            </w:r>
          </w:p>
        </w:tc>
      </w:tr>
      <w:tr>
        <w:tc>
          <w:tcPr>
            <w:tcW w:type="dxa" w:w="8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LIN-01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G4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Pictograma permitido APENAS em verbo de comando ou substantivo concreto. BLOQUEAR pictograma cuja leitura entregue a resposta da questão.</w:t>
            </w:r>
          </w:p>
        </w:tc>
      </w:tr>
      <w:tr>
        <w:tc>
          <w:tcPr>
            <w:tcW w:type="dxa" w:w="8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SEN-04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G5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o código BNCC for de PRODUÇÃO DE TEXTO ESCRITO (eh_producao_texto: true), bloquear resposta_oral_transcrita e simplificacao_de_texto. Adaptar por estrutura direcionada.</w:t>
            </w:r>
          </w:p>
        </w:tc>
      </w:tr>
      <w:tr>
        <w:tc>
          <w:tcPr>
            <w:tcW w:type="dxa" w:w="8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MOT-01 + LIN-01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G6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Borda funcional (delimita área) é permitida. Moldura ornamental é proibida.</w:t>
            </w:r>
          </w:p>
        </w:tc>
      </w:tr>
      <w:tr>
        <w:tc>
          <w:tcPr>
            <w:tcW w:type="dxa" w:w="8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8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SEN-01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t xml:space="preserve">3. Regras por Barreira</w:t>
      </w:r>
    </w:p>
    <w:p>
      <w:pPr>
        <w:spacing w:after="100" w:before="100"/>
      </w:pPr>
      <w:r>
        <w:t xml:space="preserve">Para cada barreira: técnicas indicadas (o que o ADAPTER deve fazer), técnicas contraindicadas (o que está proibido) e embasamento rastreável.</w:t>
      </w:r>
    </w:p>
    <w:p>
      <w:pPr>
        <w:spacing w:after="100" w:before="100"/>
      </w:pPr>
      <w:r>
        <w:t xml:space="preserve">🔴 = fonte pendente — a ser completada pela parecerista pedagógica.</w:t>
      </w:r>
    </w:p>
    <w:p>
      <w:pPr>
        <w:spacing w:after="0" w:before="200"/>
      </w:pPr>
    </w:p>
    <w:p>
      <w:pPr>
        <w:pStyle w:val="Heading3"/>
        <w:spacing w:after="100" w:before="200"/>
      </w:pPr>
      <w:r>
        <w:t xml:space="preserve">Família ATN — Atenção — consegue manter o foco até o fim?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ATN-01 — Perde foco em folha densa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trava quando a folha tem muita coisa?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margens_amplas
borda_funcional_delimitadora
densidade_reduzida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prova_em_blocos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literatura sobre sobrecarga visual em TDAH (ex.: Barkley, 2015 — TDAH e funções executivas)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ATN-02 — Não sustenta atenção em texto longo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desiste no meio do enunciado?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enunciado_max_2_frases
comando_destacado
texto_apoio_curto_por_questao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narrativa_longa
texto_base_extenso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diretrizes MEC sobre adaptação para TDAH / literatura sobre span de atenção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ATN-03 — Perde-se entre questão e alternativas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responde a alternativa da questão errada?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alternativas_ao_lado
caixa_por_questao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alternativas_em_quadro_isolado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pesquisa sobre rastreio visual e TDAH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00"/>
      </w:pPr>
      <w:r>
        <w:t xml:space="preserve">Família EXE — Função executiva — consegue organizar, planejar, monitorar?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EXE-01 — Não sabe onde parou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pula questões sem perceber?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checklist_progresso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literatura sobre autorregulação e monitoramento em TDAH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EXE-02 — Não decompõe tarefa multi-etapa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faz só a primeira parte do que foi pedido?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instrucao_passo_a_passo_numerada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comando_composto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literatura sobre função executiva em TDAH e TEA (ex.: Pennington &amp; Ozonoff, 1996)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EXE-03 — Não inicia sem comando explícito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fica parado esperando alguém mandar começar?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verbo_comando_isolado
tarja_comando
instrucao_inicio_explicita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enunciado_inicia_por_contexto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literatura sobre iniciação de tarefa em TEA (metodologia TEACCH)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EXE-03b — Inicia impulsivamente, sem ler o comando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sai fazendo antes de ler o que foi pedido?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comando_antes_do_contexto
caixa_pare_e_leia
contexto_ancora_tarefa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enunciado_longo_antes_do_comando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literatura sobre impulsividade em TDAH (Barkley, 2015)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EXE-04 — Não organiza cálculo no espaço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 conta some na margem?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quadriculado_dimensionado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espaco_branco_livre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literatura sobre organização visuoespacial e TDAH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00"/>
      </w:pPr>
      <w:r>
        <w:t xml:space="preserve">Família LIN — Linguagem — entende o que está sendo pedido?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LIN-01 — Vocabulário fora do repertório vira barreira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erra por não entender a palavra, não a conta?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campo_semantico
sinonimo_simplificador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sinonimo_enriquecedor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Guardrail G3 — sinonimo_simplificador vs sinonimo_enriquecedor
FONTE COMPLEMENTAR PENDENTE: literatura sobre acessibilidade lexical em avaliações inclusivas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LIN-02 — Interpreta linguagem literalmente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leva metáfora ao pé da letra?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frase_direta
sem_linguagem_figurada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expressao_idiomatica
ironia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DSM-5 (APA, 2013) — TEA e processamento de linguagem figurada; Baron-Cohen et al.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LIN-03 — Contexto narrativo obstrui a habilidade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 história atrapalha em vez de ajudar?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enunciado_curto_objetivo
sem_cenario_narrativo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narrativa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literatura sobre processamento contextual em TEA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LIN-04 — Não decodifica comando com dupla negativa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erra em 'assinale a incorreta'?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comando_afirmativo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dupla_negativa
exceto
nao_e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literatura sobre processamento sintático em TDAH e TEA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LIN-05 — Precisa de mediação oral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entende se alguém lê?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roteiro_do_ledor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questao_ampla_escopo_aberto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Lei Brasileira de Inclusão (Lei 13.146/2015) — ledor como recurso de acessibilidade; ENEM/INEP normativa de recursos especializados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LIN-06 — Engaja mais em contexto de interesse restrito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acorda quando é dinossauro?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reescrita_no_interesse_cadastrado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interesse_como_enfeite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literatura sobre interesses restritos em TEA como andaime motivacional (Koegel &amp; Koegel, 2006)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00"/>
      </w:pPr>
      <w:r>
        <w:t xml:space="preserve">Família SEN — Sensorial — o formato da folha atrapalha?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SEN-01 — Poluição visual desorganiza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se perde na folha cheia?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espaco_em_branco
borda_simples_funcional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pictograma_decorativo
moldura_ornamental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Guardrail G6 — borda funcional vs moldura ornamental
FONTE COMPLEMENTAR PENDENTE: ABNT NBR 9050 / literatura sobre design universal para aprendizagem (DUA)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SEN-02 — Hipersensibilidade a cor saturada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 forte incomoda?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fundo_cinza_10
borda_grossa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tarja_amarela
cor_saturada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Guardrail G2 — fundo cinza 10%, nunca cor saturada
FONTE COMPLEMENTAR PENDENTE: literatura sobre hipersensibilidade sensorial em TEA (Marco et al., 2011)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SEN-02b — Precisa de destaque tipográfico para localizar o comando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não acha o que é para fazer na folha?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negrito
caixa_alta
caixa_em_volta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empilhar_todos_destaques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Guardrail G2 — nunca empilhar destaques
FONTE COMPLEMENTAR PENDENTE: literatura sobre saliência visual e atenção seletiva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SEN-03 — Dificuldade de rastreio de linha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pula linha ao ler?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entrelinha_1_5
fonte_16_min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texto_coluna_dupla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ABNT NBR 9050 (acessibilidade — tipografia); literatura sobre rastreio visual em TDAH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SEN-04 — Apoia-se em pictograma para ancorar sentido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Imagem ajuda ele a entender?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pictograma_verbo_comando
pictograma_substantivo_concreto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pictograma_abstrato
pictograma_que_entrega_resposta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Guardrail G4 — pictograma nunca entrega a resposta
ARASSAC (https://arasaac.org) — biblioteca de pictogramas, CC BY-NC-SA
FONTE COMPLEMENTAR PENDENTE: literatura sobre CAA (Comunicação Aumentativa e Alternativa) em TEA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00"/>
      </w:pPr>
      <w:r>
        <w:t xml:space="preserve">Família REG — Regulação — o contexto de prova o desorganiza?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REG-01 — Prova longa gera desregulação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desaba na metade?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fracionar_prova
menos_questoes_por_pagina
comando_curto
questao_ludica_intervalo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quebra_pagina_entre_texto_base_e_perguntas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Guardrail G1 — bloco questão+alternativas+resposta é indivisível
FONTE COMPLEMENTAR PENDENTE: literatura sobre desregulação emocional em TEA e TDAH durante avaliações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REG-02 — Imprevisibilidade gera ansiedade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precisa saber o que vem?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sumario_no_topo
numero_questoes_visivel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surpresa_de_formato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FONTE COMPLEMENTAR PENDENTE: literatura sobre necessidade de previsibilidade em TEA (metodologia TEACCH — Schopler et al.)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00"/>
      </w:pPr>
      <w:r>
        <w:t xml:space="preserve">Família MOT — Registro — consegue registrar a resposta que já sabe?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dxa" w:w="9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MOT-01 — Escrita manual custa mais que a habilidade</w:t>
            </w:r>
          </w:p>
        </w:tc>
      </w:tr>
      <w:tr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Pergunta gatilho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 sabe mas não escreve?</w:t>
            </w:r>
          </w:p>
        </w:tc>
      </w:tr>
      <w:tr>
        <w:tc>
          <w:tcPr>
            <w:tcW w:type="dxa" w:w="2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resposta_por_marcacao
caixa_delimita_inicio_e_fim
resposta_oral_transcrita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Técnicas contraindicadas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resposta_dissertativa_longa
linha_simples</w:t>
            </w:r>
          </w:p>
        </w:tc>
      </w:tr>
      <w:tr>
        <w:tc>
          <w:tcPr>
            <w:tcW w:type="dxa" w:w="25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fonte_id / embasamento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documento_pedagoga_01 (Cristiane Delfim dos Santos, 13/07/2026)
Guardrail G5 — resposta_oral_transcrita bloqueada quando habilidade BNCC é produção de texto escrito
Lei Brasileira de Inclusão (Lei 13.146/2015) — escriba como recurso de acessibilidade
FONTE COMPLEMENTAR PENDENTE: literatura sobre dispráxia e custo motor em TDAH/TEA</w:t>
            </w:r>
          </w:p>
        </w:tc>
      </w:tr>
      <w:tr>
        <w:tc>
          <w:tcPr>
            <w:tcW w:type="dxa" w:w="2500"/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🔴 FONTE PENDENTE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t xml:space="preserve">4. Fontes a Levantar (pendências)</w:t>
      </w:r>
    </w:p>
    <w:p>
      <w:pPr>
        <w:spacing w:after="100" w:before="100"/>
      </w:pPr>
      <w:r>
        <w:t xml:space="preserve">As fontes abaixo precisam ser localizadas, salvas em /docs/embasamento/ e referenciadas com fonte_id neste documento.</w:t>
      </w:r>
    </w:p>
    <w:p>
      <w:pPr>
        <w:spacing w:after="0" w:before="200"/>
      </w:pPr>
    </w:p>
    <w:p>
      <w:pPr>
        <w:spacing w:after="80" w:before="80"/>
        <w:ind w:left="400"/>
      </w:pPr>
      <w:r>
        <w:rPr>
          <w:sz w:val="18"/>
          <w:szCs w:val="18"/>
        </w:rPr>
        <w:t xml:space="preserve">• Barkley, R. A. (2015). Attention-Deficit Hyperactivity Disorder: A Handbook for Diagnosis and Treatment. Guilford Press.</w:t>
      </w:r>
    </w:p>
    <w:p>
      <w:pPr>
        <w:spacing w:after="80" w:before="80"/>
        <w:ind w:left="400"/>
      </w:pPr>
      <w:r>
        <w:rPr>
          <w:sz w:val="18"/>
          <w:szCs w:val="18"/>
        </w:rPr>
        <w:t xml:space="preserve">• Baron-Cohen, S. et al. — processamento de linguagem figurada em TEA.</w:t>
      </w:r>
    </w:p>
    <w:p>
      <w:pPr>
        <w:spacing w:after="80" w:before="80"/>
        <w:ind w:left="400"/>
      </w:pPr>
      <w:r>
        <w:rPr>
          <w:sz w:val="18"/>
          <w:szCs w:val="18"/>
        </w:rPr>
        <w:t xml:space="preserve">• DSM-5 (APA, 2013) — critérios diagnósticos TEA e TDAH.</w:t>
      </w:r>
    </w:p>
    <w:p>
      <w:pPr>
        <w:spacing w:after="80" w:before="80"/>
        <w:ind w:left="400"/>
      </w:pPr>
      <w:r>
        <w:rPr>
          <w:sz w:val="18"/>
          <w:szCs w:val="18"/>
        </w:rPr>
        <w:t xml:space="preserve">• Koegel, R. L. &amp; Koegel, L. K. (2006). Pivotal Response Treatments for Autism. Brookes Publishing.</w:t>
      </w:r>
    </w:p>
    <w:p>
      <w:pPr>
        <w:spacing w:after="80" w:before="80"/>
        <w:ind w:left="400"/>
      </w:pPr>
      <w:r>
        <w:rPr>
          <w:sz w:val="18"/>
          <w:szCs w:val="18"/>
        </w:rPr>
        <w:t xml:space="preserve">• Lei Brasileira de Inclusão — Lei 13.146/2015 (Estatuto da Pessoa com Deficiência). Recurso de ledor e escriba.</w:t>
      </w:r>
    </w:p>
    <w:p>
      <w:pPr>
        <w:spacing w:after="80" w:before="80"/>
        <w:ind w:left="400"/>
      </w:pPr>
      <w:r>
        <w:rPr>
          <w:sz w:val="18"/>
          <w:szCs w:val="18"/>
        </w:rPr>
        <w:t xml:space="preserve">• Marco, E. J. et al. (2011). Sensory processing in autism: a review of neurophysiologic findings. Pediatric Research.</w:t>
      </w:r>
    </w:p>
    <w:p>
      <w:pPr>
        <w:spacing w:after="80" w:before="80"/>
        <w:ind w:left="400"/>
      </w:pPr>
      <w:r>
        <w:rPr>
          <w:sz w:val="18"/>
          <w:szCs w:val="18"/>
        </w:rPr>
        <w:t xml:space="preserve">• Pennington, B. F. &amp; Ozonoff, S. (1996). Executive functions and developmental psychopathology. Journal of Child Psychology.</w:t>
      </w:r>
    </w:p>
    <w:p>
      <w:pPr>
        <w:spacing w:after="80" w:before="80"/>
        <w:ind w:left="400"/>
      </w:pPr>
      <w:r>
        <w:rPr>
          <w:sz w:val="18"/>
          <w:szCs w:val="18"/>
        </w:rPr>
        <w:t xml:space="preserve">• Schopler, E. et al. — Metodologia TEACCH e previsibilidade em TEA.</w:t>
      </w:r>
    </w:p>
    <w:p>
      <w:pPr>
        <w:spacing w:after="80" w:before="80"/>
        <w:ind w:left="400"/>
      </w:pPr>
      <w:r>
        <w:rPr>
          <w:sz w:val="18"/>
          <w:szCs w:val="18"/>
        </w:rPr>
        <w:t xml:space="preserve">• ABNT NBR 9050 — Acessibilidade a edificações, mobiliário, espaços e equipamentos urbanos (tipografia e acessibilidade visual).</w:t>
      </w:r>
    </w:p>
    <w:p>
      <w:pPr>
        <w:spacing w:after="80" w:before="80"/>
        <w:ind w:left="400"/>
      </w:pPr>
      <w:r>
        <w:rPr>
          <w:sz w:val="18"/>
          <w:szCs w:val="18"/>
        </w:rPr>
        <w:t xml:space="preserve">• MEC — Diretrizes de adaptação curricular para alunos com necessidades educacionais especiais.</w:t>
      </w:r>
    </w:p>
    <w:p>
      <w:pPr>
        <w:spacing w:after="80" w:before="80"/>
        <w:ind w:left="400"/>
      </w:pPr>
      <w:r>
        <w:rPr>
          <w:sz w:val="18"/>
          <w:szCs w:val="18"/>
        </w:rPr>
        <w:t xml:space="preserve">• ARASAAC — Portal Aragonês de CAA. https://arasaac.org (CC BY-NC-SA).</w:t>
      </w:r>
    </w:p>
    <w:p>
      <w:pPr>
        <w:spacing w:after="80" w:before="80"/>
        <w:ind w:left="400"/>
      </w:pPr>
      <w:r>
        <w:rPr>
          <w:sz w:val="18"/>
          <w:szCs w:val="18"/>
        </w:rPr>
        <w:t xml:space="preserve">• Literatura sobre Design Universal para Aprendizagem (DUA) — CAST (2018).</w:t>
      </w:r>
    </w:p>
    <w:p>
      <w:pPr>
        <w:spacing w:after="0" w:before="200"/>
      </w:pPr>
    </w:p>
    <w:p>
      <w:pPr>
        <w:pStyle w:val="Heading2"/>
        <w:spacing w:after="150" w:before="300"/>
      </w:pPr>
      <w:r>
        <w:t xml:space="preserve">5.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336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Alteração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13/07/2026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Luiz Cruz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Criação do documento. Fontes complementares pendentes.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00" w:before="40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pPr>
      <w:spacing w:after="150" w:before="30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after="100" w:before="200"/>
    </w:pPr>
    <w:rPr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2026-07-14T00:53:00.021Z</dcterms:created>
  <dcterms:modified xsi:type="dcterms:W3CDTF">2026-07-14T00:53:00.035Z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