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Otimização de Reatores Catalíticos via Aprendizado de Máquina</w:t>
      </w:r>
    </w:p>
    <w:p>
      <w:r>
        <w:t>Maria Silva Santos</w:t>
      </w:r>
    </w:p>
    <w:p>
      <w:r>
        <w:t>Prof. Dr. João Carlos Pereira</w:t>
      </w:r>
    </w:p>
    <w:p>
      <w:r>
        <w:t>15 de março de 2024</w:t>
      </w:r>
    </w:p>
    <w:p>
      <w:r>
        <w:t>Resumo</w:t>
      </w:r>
    </w:p>
    <w:p>
      <w:r>
        <w:t>Este trabalho propõe uma metodologia híbrida para otimização de reatores catalíticos industriais combinando modelagem fenomenológica com algoritmos de aprendizado de máquina. Três configurações foram testadas em escala piloto, alcançando ganho de 12% em conversão.</w:t>
      </w:r>
    </w:p>
    <w:p>
      <w:r>
        <w:t>Introdução</w:t>
      </w:r>
    </w:p>
    <w:p>
      <w:r>
        <w:t>1.1 Motivação</w:t>
      </w:r>
    </w:p>
    <w:p>
      <w:r>
        <w:t>Reatores catalíticos representam mais de 60% da capacidade produtiva da indústria petroquímica brasileira.</w:t>
      </w:r>
    </w:p>
    <w:p>
      <w:r>
        <w:t>1.2 Objetivos</w:t>
      </w:r>
    </w:p>
    <w:p>
      <w:r>
        <w:t>1.2.1 Objetivo Geral</w:t>
      </w:r>
    </w:p>
    <w:p>
      <w:r>
        <w:t>Desenvolver pipeline híbrido para otimização operacional contínua.</w:t>
      </w:r>
    </w:p>
    <w:p>
      <w:r>
        <w:t>1.2.2 Objetivos Específicos</w:t>
      </w:r>
    </w:p>
    <w:p>
      <w:r>
        <w:t>Caracterizar três famílias de catalisadores comerciais.</w:t>
      </w:r>
    </w:p>
    <w:p>
      <w:r>
        <w:t>Treinar modelos preditivos com dados de planta.</w:t>
      </w:r>
    </w:p>
    <w:p>
      <w:r>
        <w:t>Validar ganhos via experimentação controlada.</w:t>
      </w:r>
    </w:p>
    <w:p>
      <w:r>
        <w:t>Metodologia</w:t>
      </w:r>
    </w:p>
    <w:p>
      <w:r>
        <w:t>3.1 Aquisição de Dados</w:t>
      </w:r>
    </w:p>
    <w:p>
      <w:r>
        <w:t>Dados foram coletados de três plantas industriais ao longo de 18 meses.</w:t>
      </w:r>
    </w:p>
    <w:p>
      <w:r>
        <w:t>3.2 Modelagem</w:t>
      </w:r>
    </w:p>
    <w:p>
      <w:r>
        <w:t>3.2.1 Modelo Fenomenológico</w:t>
      </w:r>
    </w:p>
    <w:p>
      <w:r>
        <w:t>Equações de balanço de massa e energia foram resolvidas em CFD.</w:t>
      </w:r>
    </w:p>
    <w:p>
      <w:r>
        <w:t>3.2.2 Modelo de Aprendizado</w:t>
      </w:r>
    </w:p>
    <w:p>
      <w:r>
        <w:t>Random Forest treinado em 50k amostras com validação cruzada k=5.</w:t>
      </w:r>
    </w:p>
    <w:p>
      <w:r>
        <w:t>Resultados</w:t>
      </w:r>
    </w:p>
    <w:p>
      <w:r>
        <w:t>A configuração híbrida superou ambas as baselines em 9 dos 10 testes.</w:t>
      </w:r>
    </w:p>
    <w:p>
      <w:r>
        <w:t>Conclusão</w:t>
      </w:r>
    </w:p>
    <w:p>
      <w:r>
        <w:t>A integração de modelos fenomenológicos com aprendizado de máquina viabiliza otimização contínua sem perda de interpretabilidade.</w:t>
      </w:r>
    </w:p>
    <w:tbl>
      <w:tblPr>
        <w:tblW w:type="auto" w:w="0"/>
        <w:tblLook w:firstColumn="1" w:firstRow="1" w:lastColumn="0" w:lastRow="0" w:noHBand="0" w:noVBand="1" w:val="04A0"/>
      </w:tblPr>
      <w:tblGrid>
        <w:gridCol w:w="2880"/>
        <w:gridCol w:w="2880"/>
        <w:gridCol w:w="2880"/>
      </w:tblGrid>
      <w:tr>
        <w:tc>
          <w:tcPr>
            <w:tcW w:type="dxa" w:w="2880"/>
          </w:tcPr>
          <w:p>
            <w:r>
              <w:t>Versão</w:t>
            </w:r>
          </w:p>
        </w:tc>
        <w:tc>
          <w:tcPr>
            <w:tcW w:type="dxa" w:w="2880"/>
          </w:tcPr>
          <w:p>
            <w:r>
              <w:t>Data</w:t>
            </w:r>
          </w:p>
        </w:tc>
        <w:tc>
          <w:tcPr>
            <w:tcW w:type="dxa" w:w="2880"/>
          </w:tcPr>
          <w:p>
            <w:r>
              <w:t>Modificações</w:t>
            </w:r>
          </w:p>
        </w:tc>
      </w:tr>
      <w:tr>
        <w:tc>
          <w:tcPr>
            <w:tcW w:type="dxa" w:w="2880"/>
          </w:tcPr>
          <w:p>
            <w:r>
              <w:t>1.0</w:t>
            </w:r>
          </w:p>
        </w:tc>
        <w:tc>
          <w:tcPr>
            <w:tcW w:type="dxa" w:w="2880"/>
          </w:tcPr>
          <w:p>
            <w:r>
              <w:t>2024-03-15</w:t>
            </w:r>
          </w:p>
        </w:tc>
        <w:tc>
          <w:tcPr>
            <w:tcW w:type="dxa" w:w="2880"/>
          </w:tcPr>
          <w:p>
            <w:r>
              <w:t>Versão inicial defendida</w:t>
            </w:r>
          </w:p>
        </w:tc>
      </w:tr>
      <w:tr>
        <w:tc>
          <w:tcPr>
            <w:tcW w:type="dxa" w:w="2880"/>
          </w:tcPr>
          <w:p>
            <w:r>
              <w:t>1.1</w:t>
            </w:r>
          </w:p>
        </w:tc>
        <w:tc>
          <w:tcPr>
            <w:tcW w:type="dxa" w:w="2880"/>
          </w:tcPr>
          <w:p>
            <w:r>
              <w:t>2024-04-02</w:t>
            </w:r>
          </w:p>
        </w:tc>
        <w:tc>
          <w:tcPr>
            <w:tcW w:type="dxa" w:w="2880"/>
          </w:tcPr>
          <w:p>
            <w:r>
              <w:t>Correções da banca</w:t>
            </w:r>
          </w:p>
        </w:tc>
      </w:tr>
    </w:tbl>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Universidade Federal de Minas Gerais</w:t>
    </w:r>
  </w:p>
  <w:p>
    <w:r>
      <w:t>Departamento de Engenharia Química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