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65d"/>
          <w:sz w:val="48"/>
          <w:szCs w:val="48"/>
          <w:rtl w:val="0"/>
        </w:rPr>
        <w:t xml:space="preserve">4.6 Documentação Técnico-Científica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6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b6b94"/>
          <w:sz w:val="26"/>
          <w:szCs w:val="26"/>
          <w:rtl w:val="0"/>
        </w:rPr>
        <w:t xml:space="preserve">Projeto Digital Library — Plataforma de Pesquisa e Organização Acadêmica (18 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65d"/>
          <w:sz w:val="32"/>
          <w:szCs w:val="32"/>
          <w:rtl w:val="0"/>
        </w:rPr>
        <w:t xml:space="preserve">1. Arquitetura e Fluxos do Sistema (5 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b6b94"/>
          <w:sz w:val="26"/>
          <w:szCs w:val="26"/>
          <w:rtl w:val="0"/>
        </w:rPr>
        <w:t xml:space="preserve">1.1 Visão Geral da Arquitetura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 sistema Digital Library é uma plataforma de organização e pesquisa acadêmica desenvolvida sob o ecossistema Java com Spring Boot, utilizando o padrão de arquitetura MVC (Model-View-Controller) em camadas com desacoplamento de serviços e integrações. O projeto não armazena arquivos de e-books protegidos por direitos autorais em infraestrutura própria; em vez disso, atua como um agregador/pesquisador acadêmico que redireciona o estudante para o site de origem da obra por meio de integrações com APIs públicas (Google Books e Open Library).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estrutura da aplicação é dividida nas seguintes camadas de responsabilidade única: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365d"/>
          <w:sz w:val="22"/>
          <w:szCs w:val="22"/>
          <w:u w:val="none"/>
          <w:shd w:fill="auto" w:val="clear"/>
          <w:vertAlign w:val="baseline"/>
          <w:rtl w:val="0"/>
        </w:rPr>
        <w:t xml:space="preserve">Interface (View / Frontend):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Camada de apresentação com a qual o estudante interage.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365d"/>
          <w:sz w:val="22"/>
          <w:szCs w:val="22"/>
          <w:u w:val="none"/>
          <w:shd w:fill="auto" w:val="clear"/>
          <w:vertAlign w:val="baseline"/>
          <w:rtl w:val="0"/>
        </w:rPr>
        <w:t xml:space="preserve">Controllers (apps/*):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Endpoints REST responsáveis por receber requisições HTTP, validar payloads e invocar a camada de negócio.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365d"/>
          <w:sz w:val="22"/>
          <w:szCs w:val="22"/>
          <w:u w:val="none"/>
          <w:shd w:fill="auto" w:val="clear"/>
          <w:vertAlign w:val="baseline"/>
          <w:rtl w:val="0"/>
        </w:rPr>
        <w:t xml:space="preserve">Services (services/*):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Contém as regras de negócio (pesquisa, filtros, lógica de favoritos, histórico e avaliações).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365d"/>
          <w:sz w:val="22"/>
          <w:szCs w:val="22"/>
          <w:u w:val="none"/>
          <w:shd w:fill="auto" w:val="clear"/>
          <w:vertAlign w:val="baseline"/>
          <w:rtl w:val="0"/>
        </w:rPr>
        <w:t xml:space="preserve">DTOs (Data Transfer Objects):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Objetos de transferência de dados que garantem a segurança do contrato da API e evitam a exposição direta das entidades do banco.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365d"/>
          <w:sz w:val="22"/>
          <w:szCs w:val="22"/>
          <w:u w:val="none"/>
          <w:shd w:fill="auto" w:val="clear"/>
          <w:vertAlign w:val="baseline"/>
          <w:rtl w:val="0"/>
        </w:rPr>
        <w:t xml:space="preserve">Repositories (repositories/*):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Interface de acesso aos dados persistidos via Spring Data JPA no banco em nuvem Supabase (PostgreSQL Cloud).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365d"/>
          <w:sz w:val="22"/>
          <w:szCs w:val="22"/>
          <w:u w:val="none"/>
          <w:shd w:fill="auto" w:val="clear"/>
          <w:vertAlign w:val="baseline"/>
          <w:rtl w:val="0"/>
        </w:rPr>
        <w:t xml:space="preserve">Integrações (integrations/*):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Clientes HTTP isolados (google_books/client.java, open_library/client.java) para comunicação resiliente com APIs externas, isolando o núcleo da aplicação das especificidades de cada fornecedor de dados.</w:t>
      </w:r>
    </w:p>
    <w:p w:rsidR="00000000" w:rsidDel="00000000" w:rsidP="00000000" w:rsidRDefault="00000000" w:rsidRPr="00000000" w14:paraId="0000000D">
      <w:pPr>
        <w:keepNext w:val="1"/>
        <w:spacing w:after="80" w:before="240" w:lineRule="auto"/>
        <w:rPr>
          <w:b w:val="1"/>
          <w:bCs w:val="1"/>
          <w:color w:val="4b6b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after="80" w:before="240" w:lineRule="auto"/>
        <w:rPr>
          <w:b w:val="1"/>
          <w:bCs w:val="1"/>
          <w:color w:val="4b6b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spacing w:after="80" w:before="240" w:lineRule="auto"/>
        <w:rPr>
          <w:b w:val="1"/>
          <w:bCs w:val="1"/>
          <w:color w:val="4b6b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spacing w:after="80" w:before="240" w:lineRule="auto"/>
        <w:rPr>
          <w:b w:val="1"/>
          <w:bCs w:val="1"/>
          <w:color w:val="4b6b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spacing w:after="80" w:before="240" w:lineRule="auto"/>
        <w:rPr>
          <w:b w:val="1"/>
          <w:bCs w:val="1"/>
          <w:color w:val="4b6b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b6b94"/>
          <w:sz w:val="26"/>
          <w:szCs w:val="26"/>
          <w:rtl w:val="0"/>
        </w:rPr>
        <w:t xml:space="preserve">1.2 Diagrama de Blocos de Componentes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365d" w:space="0" w:sz="4" w:val="single"/>
              <w:left w:color="1b365d" w:space="0" w:sz="18" w:val="single"/>
              <w:bottom w:color="1b365d" w:space="0" w:sz="4" w:val="single"/>
              <w:right w:color="1b365d" w:space="0" w:sz="4" w:val="single"/>
            </w:tcBorders>
            <w:shd w:fill="f0f4f8" w:val="clear"/>
          </w:tcPr>
          <w:p w:rsidR="00000000" w:rsidDel="00000000" w:rsidP="00000000" w:rsidRDefault="00000000" w:rsidRPr="00000000" w14:paraId="00000013">
            <w:pPr>
              <w:spacing w:after="80" w:before="80" w:lineRule="auto"/>
              <w:ind w:left="120" w:right="12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365d"/>
                <w:sz w:val="19"/>
                <w:szCs w:val="19"/>
                <w:rtl w:val="0"/>
              </w:rPr>
              <w:t xml:space="preserve">  [ Estudante / Interface WEB ]</w:t>
              <w:br w:type="textWrapping"/>
              <w:t xml:space="preserve">                │</w:t>
              <w:br w:type="textWrapping"/>
              <w:t xml:space="preserve">          HTTPS / TLS 1.3</w:t>
              <w:br w:type="textWrapping"/>
              <w:t xml:space="preserve">                │</w:t>
              <w:br w:type="textWrapping"/>
              <w:t xml:space="preserve">                ▼</w:t>
              <w:br w:type="textWrapping"/>
              <w:t xml:space="preserve">  ┌─────────────────────────────────────────────────────────────┐</w:t>
              <w:br w:type="textWrapping"/>
              <w:t xml:space="preserve">  │                   SPRING BOOT FRAMEWORK                     │</w:t>
              <w:br w:type="textWrapping"/>
              <w:t xml:space="preserve">  │                                                             │</w:t>
              <w:br w:type="textWrapping"/>
              <w:t xml:space="preserve">  │  [ Controller Layer ] (accounts, library, favorites, etc.)  │</w:t>
              <w:br w:type="textWrapping"/>
              <w:t xml:space="preserve">  │           │                                                 │</w:t>
              <w:br w:type="textWrapping"/>
              <w:t xml:space="preserve">  │           ▼                                                 │</w:t>
              <w:br w:type="textWrapping"/>
              <w:t xml:space="preserve">  │  [ Service Layer ] (book_service, favorite_service, etc.)   │</w:t>
              <w:br w:type="textWrapping"/>
              <w:t xml:space="preserve">  │           │                                 │               │</w:t>
              <w:br w:type="textWrapping"/>
              <w:t xml:space="preserve">  │           ▼                                 ▼               │</w:t>
              <w:br w:type="textWrapping"/>
              <w:t xml:space="preserve">  │  [ Repository Layer ]             [ Integrations Layer ]    │</w:t>
              <w:br w:type="textWrapping"/>
              <w:t xml:space="preserve">  └───────────┬─────────────────────────────────┬───────────────┘</w:t>
              <w:br w:type="textWrapping"/>
              <w:t xml:space="preserve">              │                                 │</w:t>
              <w:br w:type="textWrapping"/>
              <w:t xml:space="preserve">              ▼                                 ▼</w:t>
              <w:br w:type="textWrapping"/>
              <w:t xml:space="preserve">   [ Supabase DB (Cloud) ]           [ APIs Externas ]</w:t>
              <w:br w:type="textWrapping"/>
              <w:t xml:space="preserve">    (PostgreSQL / Auth)           (Google Books / Open Library)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b6b94"/>
          <w:sz w:val="26"/>
          <w:szCs w:val="26"/>
          <w:rtl w:val="0"/>
        </w:rPr>
        <w:t xml:space="preserve">1.3 Fluxos Principais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spacing w:after="4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65d"/>
          <w:sz w:val="23"/>
          <w:szCs w:val="23"/>
          <w:rtl w:val="0"/>
        </w:rPr>
        <w:t xml:space="preserve">Fluxo 1: Autenticação de Usuário e Controle de Sessão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lineRule="auto"/>
        <w:ind w:left="360" w:firstLine="0"/>
        <w:rPr/>
      </w:pPr>
      <w:r w:rsidDel="00000000" w:rsidR="00000000" w:rsidRPr="00000000">
        <w:rPr>
          <w:b w:val="1"/>
          <w:bCs w:val="1"/>
          <w:color w:val="1b365d"/>
          <w:rtl w:val="0"/>
        </w:rPr>
        <w:t xml:space="preserve">1. </w:t>
      </w:r>
      <w:r w:rsidDel="00000000" w:rsidR="00000000" w:rsidRPr="00000000">
        <w:rPr>
          <w:rtl w:val="0"/>
        </w:rPr>
        <w:t xml:space="preserve">O estudante envia suas credenciais no endpoint POST /apps/accounts/login.</w:t>
      </w:r>
    </w:p>
    <w:p w:rsidR="00000000" w:rsidDel="00000000" w:rsidP="00000000" w:rsidRDefault="00000000" w:rsidRPr="00000000" w14:paraId="00000018">
      <w:pPr>
        <w:spacing w:after="60" w:lineRule="auto"/>
        <w:ind w:left="360" w:firstLine="0"/>
        <w:rPr/>
      </w:pPr>
      <w:r w:rsidDel="00000000" w:rsidR="00000000" w:rsidRPr="00000000">
        <w:rPr>
          <w:b w:val="1"/>
          <w:bCs w:val="1"/>
          <w:color w:val="1b365d"/>
          <w:rtl w:val="0"/>
        </w:rPr>
        <w:t xml:space="preserve">2. </w:t>
      </w:r>
      <w:r w:rsidDel="00000000" w:rsidR="00000000" w:rsidRPr="00000000">
        <w:rPr>
          <w:rtl w:val="0"/>
        </w:rPr>
        <w:t xml:space="preserve">O AccountController delega a validação ao serviço de autenticação.</w:t>
      </w:r>
    </w:p>
    <w:p w:rsidR="00000000" w:rsidDel="00000000" w:rsidP="00000000" w:rsidRDefault="00000000" w:rsidRPr="00000000" w14:paraId="00000019">
      <w:pPr>
        <w:spacing w:after="60" w:lineRule="auto"/>
        <w:ind w:left="360" w:firstLine="0"/>
        <w:rPr/>
      </w:pPr>
      <w:r w:rsidDel="00000000" w:rsidR="00000000" w:rsidRPr="00000000">
        <w:rPr>
          <w:b w:val="1"/>
          <w:bCs w:val="1"/>
          <w:color w:val="1b365d"/>
          <w:rtl w:val="0"/>
        </w:rPr>
        <w:t xml:space="preserve">3. </w:t>
      </w:r>
      <w:r w:rsidDel="00000000" w:rsidR="00000000" w:rsidRPr="00000000">
        <w:rPr>
          <w:rtl w:val="0"/>
        </w:rPr>
        <w:t xml:space="preserve">O Spring Security valida as credenciais contra a base de dados no Supabase utilizando hash seguro de senha (BCrypt/Argon2).</w:t>
      </w:r>
    </w:p>
    <w:p w:rsidR="00000000" w:rsidDel="00000000" w:rsidP="00000000" w:rsidRDefault="00000000" w:rsidRPr="00000000" w14:paraId="0000001A">
      <w:pPr>
        <w:spacing w:after="60" w:lineRule="auto"/>
        <w:ind w:left="360" w:firstLine="0"/>
        <w:rPr/>
      </w:pPr>
      <w:r w:rsidDel="00000000" w:rsidR="00000000" w:rsidRPr="00000000">
        <w:rPr>
          <w:b w:val="1"/>
          <w:bCs w:val="1"/>
          <w:color w:val="1b365d"/>
          <w:rtl w:val="0"/>
        </w:rPr>
        <w:t xml:space="preserve">4. </w:t>
      </w:r>
      <w:r w:rsidDel="00000000" w:rsidR="00000000" w:rsidRPr="00000000">
        <w:rPr>
          <w:rtl w:val="0"/>
        </w:rPr>
        <w:t xml:space="preserve">Sendo válido, o sistema emite um token de autenticação (JWT) ou cookie seguro contendo a autorização para consumo das rotas protegidas (como gerenciar favoritos e histórico).</w:t>
      </w:r>
    </w:p>
    <w:p w:rsidR="00000000" w:rsidDel="00000000" w:rsidP="00000000" w:rsidRDefault="00000000" w:rsidRPr="00000000" w14:paraId="0000001B">
      <w:pPr>
        <w:keepNext w:val="1"/>
        <w:spacing w:after="4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65d"/>
          <w:sz w:val="23"/>
          <w:szCs w:val="23"/>
          <w:rtl w:val="0"/>
        </w:rPr>
        <w:t xml:space="preserve">Fluxo 2: Busca de Livros e Redirecionamento para Fonte Oficial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lineRule="auto"/>
        <w:ind w:left="360" w:firstLine="0"/>
        <w:rPr/>
      </w:pPr>
      <w:r w:rsidDel="00000000" w:rsidR="00000000" w:rsidRPr="00000000">
        <w:rPr>
          <w:b w:val="1"/>
          <w:bCs w:val="1"/>
          <w:color w:val="1b365d"/>
          <w:rtl w:val="0"/>
        </w:rPr>
        <w:t xml:space="preserve">1. </w:t>
      </w:r>
      <w:r w:rsidDel="00000000" w:rsidR="00000000" w:rsidRPr="00000000">
        <w:rPr>
          <w:rtl w:val="0"/>
        </w:rPr>
        <w:t xml:space="preserve">O usuário submete uma consulta de pesquisa acadêmica em GET /apps/library/search?q={termo}.</w:t>
      </w:r>
    </w:p>
    <w:p w:rsidR="00000000" w:rsidDel="00000000" w:rsidP="00000000" w:rsidRDefault="00000000" w:rsidRPr="00000000" w14:paraId="0000001D">
      <w:pPr>
        <w:spacing w:after="60" w:lineRule="auto"/>
        <w:ind w:left="360" w:firstLine="0"/>
        <w:rPr/>
      </w:pPr>
      <w:r w:rsidDel="00000000" w:rsidR="00000000" w:rsidRPr="00000000">
        <w:rPr>
          <w:b w:val="1"/>
          <w:bCs w:val="1"/>
          <w:color w:val="1b365d"/>
          <w:rtl w:val="0"/>
        </w:rPr>
        <w:t xml:space="preserve">2. </w:t>
      </w:r>
      <w:r w:rsidDel="00000000" w:rsidR="00000000" w:rsidRPr="00000000">
        <w:rPr>
          <w:rtl w:val="0"/>
        </w:rPr>
        <w:t xml:space="preserve">O book_service aciona em paralelo os clientes da camada integrations (google_books/client e open_library/client).</w:t>
      </w:r>
    </w:p>
    <w:p w:rsidR="00000000" w:rsidDel="00000000" w:rsidP="00000000" w:rsidRDefault="00000000" w:rsidRPr="00000000" w14:paraId="0000001E">
      <w:pPr>
        <w:spacing w:after="60" w:lineRule="auto"/>
        <w:ind w:left="360" w:firstLine="0"/>
        <w:rPr/>
      </w:pPr>
      <w:r w:rsidDel="00000000" w:rsidR="00000000" w:rsidRPr="00000000">
        <w:rPr>
          <w:b w:val="1"/>
          <w:bCs w:val="1"/>
          <w:color w:val="1b365d"/>
          <w:rtl w:val="0"/>
        </w:rPr>
        <w:t xml:space="preserve">3. </w:t>
      </w:r>
      <w:r w:rsidDel="00000000" w:rsidR="00000000" w:rsidRPr="00000000">
        <w:rPr>
          <w:rtl w:val="0"/>
        </w:rPr>
        <w:t xml:space="preserve">As integrações tratam as respostas das APIs públicas, normalizam os DTOs e retornam uma lista unificada contendo títulos, autores, metadados e os links de direcionamento para o site oficial de origem.</w:t>
      </w:r>
    </w:p>
    <w:p w:rsidR="00000000" w:rsidDel="00000000" w:rsidP="00000000" w:rsidRDefault="00000000" w:rsidRPr="00000000" w14:paraId="0000001F">
      <w:pPr>
        <w:spacing w:after="60" w:lineRule="auto"/>
        <w:ind w:left="360" w:firstLine="0"/>
        <w:rPr/>
      </w:pPr>
      <w:r w:rsidDel="00000000" w:rsidR="00000000" w:rsidRPr="00000000">
        <w:rPr>
          <w:b w:val="1"/>
          <w:bCs w:val="1"/>
          <w:color w:val="1b365d"/>
          <w:rtl w:val="0"/>
        </w:rPr>
        <w:t xml:space="preserve">4. </w:t>
      </w:r>
      <w:r w:rsidDel="00000000" w:rsidR="00000000" w:rsidRPr="00000000">
        <w:rPr>
          <w:rtl w:val="0"/>
        </w:rPr>
        <w:t xml:space="preserve">O resultado é registrado de forma otimizada no histórico (history) do usuário e exibido na interface sem realizar download local do arquivo proprietário.</w:t>
      </w:r>
    </w:p>
    <w:p w:rsidR="00000000" w:rsidDel="00000000" w:rsidP="00000000" w:rsidRDefault="00000000" w:rsidRPr="00000000" w14:paraId="00000020">
      <w:pPr>
        <w:keepNext w:val="1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65d"/>
          <w:sz w:val="32"/>
          <w:szCs w:val="32"/>
          <w:rtl w:val="0"/>
        </w:rPr>
        <w:t xml:space="preserve">2. Análise de Riscos e Ameaças (5 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 modelagem de ameaças e riscos do sistema apoia-se na metodologia STRIDE aplicada a aplicações web Spring Boot integradas a ecossistemas cloud e APIs de terceiros.</w:t>
      </w:r>
    </w:p>
    <w:p w:rsidR="00000000" w:rsidDel="00000000" w:rsidP="00000000" w:rsidRDefault="00000000" w:rsidRPr="00000000" w14:paraId="00000022">
      <w:pPr>
        <w:keepNext w:val="1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b6b94"/>
          <w:sz w:val="26"/>
          <w:szCs w:val="26"/>
          <w:rtl w:val="0"/>
        </w:rPr>
        <w:t xml:space="preserve">2.1 Modelagem de Ameaças (Metodologia STRIDE)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1b365d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Categoria STRIDE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65d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Ameaça Identificada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65d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Impacto no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65d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Medida de Mitigação Implementada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0000" w:space="0" w:sz="0" w:val="nil"/>
              <w:bottom w:color="cccccc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60" w:before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Spoofing</w:t>
              <w:br w:type="textWrapping"/>
              <w:t xml:space="preserve">(Falsificação)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000000" w:space="0" w:sz="0" w:val="nil"/>
              <w:bottom w:color="cccccc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60" w:before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Falsificação de identidade de estudante para manipular favoritos/histórico alheio.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000000" w:space="0" w:sz="0" w:val="nil"/>
              <w:bottom w:color="cccccc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60" w:before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Acesso indevido a dados de perfil e navegação de outros usuários.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000000" w:space="0" w:sz="0" w:val="nil"/>
              <w:bottom w:color="cccccc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60" w:before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Autenticação via Spring Security + JWT com assinatura criptográfica e tempo de expiração curto.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0000" w:space="0" w:sz="0" w:val="nil"/>
              <w:bottom w:color="cccccc" w:space="0" w:sz="4" w:val="single"/>
              <w:right w:color="000000" w:space="0" w:sz="0" w:val="nil"/>
            </w:tcBorders>
            <w:shd w:fill="f9fbf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60" w:before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Tampering</w:t>
              <w:br w:type="textWrapping"/>
              <w:t xml:space="preserve">(Adulteração)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000000" w:space="0" w:sz="0" w:val="nil"/>
              <w:bottom w:color="cccccc" w:space="0" w:sz="4" w:val="single"/>
              <w:right w:color="000000" w:space="0" w:sz="0" w:val="nil"/>
            </w:tcBorders>
            <w:shd w:fill="f9fbf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60" w:before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Injeção de scripts maliciosos nos campos de avaliação (reviews) ou parâmetros de busca.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000000" w:space="0" w:sz="0" w:val="nil"/>
              <w:bottom w:color="cccccc" w:space="0" w:sz="4" w:val="single"/>
              <w:right w:color="000000" w:space="0" w:sz="0" w:val="nil"/>
            </w:tcBorders>
            <w:shd w:fill="f9fbf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60" w:before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Armazenamento de payloads maliciosos no banco ou Cross-Site Scripting (XSS).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000000" w:space="0" w:sz="0" w:val="nil"/>
              <w:bottom w:color="cccccc" w:space="0" w:sz="4" w:val="single"/>
              <w:right w:color="000000" w:space="0" w:sz="0" w:val="nil"/>
            </w:tcBorders>
            <w:shd w:fill="f9fbf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60" w:before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Sanitização estrita de dados de entrada na camada DTO/Controller e uso de ORM/JPA parametrizado no Supabase.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0000" w:space="0" w:sz="0" w:val="nil"/>
              <w:bottom w:color="cccccc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60" w:before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Repudiation</w:t>
              <w:br w:type="textWrapping"/>
              <w:t xml:space="preserve">(Repúdio)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000000" w:space="0" w:sz="0" w:val="nil"/>
              <w:bottom w:color="cccccc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60" w:before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Modificações em dados sensíveis sem registro auditável.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000000" w:space="0" w:sz="0" w:val="nil"/>
              <w:bottom w:color="cccccc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60" w:before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Dificuldade em identificar a origem de acessos e ações não autorizadas.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000000" w:space="0" w:sz="0" w:val="nil"/>
              <w:bottom w:color="cccccc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60" w:before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Geração de logs estruturados das ações críticas da camada services com timestamps e identificadores anonimizados.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0000" w:space="0" w:sz="0" w:val="nil"/>
              <w:bottom w:color="cccccc" w:space="0" w:sz="4" w:val="single"/>
              <w:right w:color="000000" w:space="0" w:sz="0" w:val="nil"/>
            </w:tcBorders>
            <w:shd w:fill="f9fbf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60" w:before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Information Disclosure</w:t>
              <w:br w:type="textWrapping"/>
              <w:t xml:space="preserve">(Vazamento)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000000" w:space="0" w:sz="0" w:val="nil"/>
              <w:bottom w:color="cccccc" w:space="0" w:sz="4" w:val="single"/>
              <w:right w:color="000000" w:space="0" w:sz="0" w:val="nil"/>
            </w:tcBorders>
            <w:shd w:fill="f9fbf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60" w:before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Exposição de credenciais de conexão do Supabase ou chaves de API do Google Books no Git.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000000" w:space="0" w:sz="0" w:val="nil"/>
              <w:bottom w:color="cccccc" w:space="0" w:sz="4" w:val="single"/>
              <w:right w:color="000000" w:space="0" w:sz="0" w:val="nil"/>
            </w:tcBorders>
            <w:shd w:fill="f9fbf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60" w:before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Comprometimento do banco de dados na nuvem e uso não autorizado de cotas da API.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000000" w:space="0" w:sz="0" w:val="nil"/>
              <w:bottom w:color="cccccc" w:space="0" w:sz="4" w:val="single"/>
              <w:right w:color="000000" w:space="0" w:sz="0" w:val="nil"/>
            </w:tcBorders>
            <w:shd w:fill="f9fbf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60" w:before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Uso de variáveis de ambiente (application.properties / ENV) e arquivo .gitignore para bloquear credenciais no repositório.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0000" w:space="0" w:sz="0" w:val="nil"/>
              <w:bottom w:color="cccccc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60" w:before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Denial of Service</w:t>
              <w:br w:type="textWrapping"/>
              <w:t xml:space="preserve">(DoS)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000000" w:space="0" w:sz="0" w:val="nil"/>
              <w:bottom w:color="cccccc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60" w:before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Esgotamento de conexões com o Supabase ou estouro da cota de requisições nas APIs externas.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000000" w:space="0" w:sz="0" w:val="nil"/>
              <w:bottom w:color="cccccc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60" w:before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Indisponibilidade temporária da pesquisa e degradação de desempenho.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000000" w:space="0" w:sz="0" w:val="nil"/>
              <w:bottom w:color="cccccc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60" w:before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Implementação de Rate Limiting por IP/usuário, cachenamento de consultas na camada book_service e conexões otimizadas via Spring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0000" w:space="0" w:sz="0" w:val="nil"/>
              <w:bottom w:color="cccccc" w:space="0" w:sz="4" w:val="single"/>
              <w:right w:color="000000" w:space="0" w:sz="0" w:val="nil"/>
            </w:tcBorders>
            <w:shd w:fill="f9fbf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60" w:before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Elevation of Privilege</w:t>
              <w:br w:type="textWrapping"/>
              <w:t xml:space="preserve">(Elevação)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000000" w:space="0" w:sz="0" w:val="nil"/>
              <w:bottom w:color="cccccc" w:space="0" w:sz="4" w:val="single"/>
              <w:right w:color="000000" w:space="0" w:sz="0" w:val="nil"/>
            </w:tcBorders>
            <w:shd w:fill="f9fbf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60" w:before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Manipulação de rotas REST para acessar endpoints administrativos sem permissão.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000000" w:space="0" w:sz="0" w:val="nil"/>
              <w:bottom w:color="cccccc" w:space="0" w:sz="4" w:val="single"/>
              <w:right w:color="000000" w:space="0" w:sz="0" w:val="nil"/>
            </w:tcBorders>
            <w:shd w:fill="f9fbf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60" w:before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Execução de comandos privilegiados por usuários comuns.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000000" w:space="0" w:sz="0" w:val="nil"/>
              <w:bottom w:color="cccccc" w:space="0" w:sz="4" w:val="single"/>
              <w:right w:color="000000" w:space="0" w:sz="0" w:val="nil"/>
            </w:tcBorders>
            <w:shd w:fill="f9fbf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60" w:before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Controle de acesso baseado em escopos/roles (RBAC) validado estritamente pelo Spring Security no servidor.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1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65d"/>
          <w:sz w:val="32"/>
          <w:szCs w:val="32"/>
          <w:rtl w:val="0"/>
        </w:rPr>
        <w:t xml:space="preserve">3. Testes de Segurança Documentados (4 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Foram planejados e documentados testes de segurança automatizados e manuais cobrindo o ecossistema Spring Boot e os endpoints da aplicação.</w:t>
      </w:r>
    </w:p>
    <w:p w:rsidR="00000000" w:rsidDel="00000000" w:rsidP="00000000" w:rsidRDefault="00000000" w:rsidRPr="00000000" w14:paraId="00000042">
      <w:pPr>
        <w:keepNext w:val="1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b6b94"/>
          <w:sz w:val="26"/>
          <w:szCs w:val="26"/>
          <w:rtl w:val="0"/>
        </w:rPr>
        <w:t xml:space="preserve">3.1 Resumo dos Testes Executados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1"/>
        <w:spacing w:after="4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65d"/>
          <w:sz w:val="23"/>
          <w:szCs w:val="23"/>
          <w:rtl w:val="0"/>
        </w:rPr>
        <w:t xml:space="preserve">Teste 1: Análise Estática de Código (SAST) e Gestão de Segredos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40" w:lineRule="auto"/>
        <w:ind w:left="288" w:firstLine="0"/>
        <w:rPr/>
      </w:pPr>
      <w:r w:rsidDel="00000000" w:rsidR="00000000" w:rsidRPr="00000000">
        <w:rPr>
          <w:b w:val="1"/>
          <w:bCs w:val="1"/>
          <w:color w:val="4b6b94"/>
          <w:rtl w:val="0"/>
        </w:rPr>
        <w:t xml:space="preserve">Ferramenta Utilizada: </w:t>
      </w:r>
      <w:r w:rsidDel="00000000" w:rsidR="00000000" w:rsidRPr="00000000">
        <w:rPr>
          <w:rtl w:val="0"/>
        </w:rPr>
        <w:t xml:space="preserve">SonarQube / GitHub Actions Secret Scanning.</w:t>
      </w:r>
    </w:p>
    <w:p w:rsidR="00000000" w:rsidDel="00000000" w:rsidP="00000000" w:rsidRDefault="00000000" w:rsidRPr="00000000" w14:paraId="00000045">
      <w:pPr>
        <w:spacing w:after="40" w:lineRule="auto"/>
        <w:ind w:left="288" w:firstLine="0"/>
        <w:rPr/>
      </w:pPr>
      <w:r w:rsidDel="00000000" w:rsidR="00000000" w:rsidRPr="00000000">
        <w:rPr>
          <w:b w:val="1"/>
          <w:bCs w:val="1"/>
          <w:color w:val="4b6b94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Detectar exposição de chaves de API (Google Books/Supabase) ou falhas na estrutura de pacotes em src/.</w:t>
      </w:r>
    </w:p>
    <w:p w:rsidR="00000000" w:rsidDel="00000000" w:rsidP="00000000" w:rsidRDefault="00000000" w:rsidRPr="00000000" w14:paraId="00000046">
      <w:pPr>
        <w:spacing w:after="40" w:lineRule="auto"/>
        <w:ind w:left="288" w:firstLine="0"/>
        <w:rPr/>
      </w:pPr>
      <w:r w:rsidDel="00000000" w:rsidR="00000000" w:rsidRPr="00000000">
        <w:rPr>
          <w:b w:val="1"/>
          <w:bCs w:val="1"/>
          <w:color w:val="4b6b94"/>
          <w:rtl w:val="0"/>
        </w:rPr>
        <w:t xml:space="preserve">Resultado: </w:t>
      </w:r>
      <w:r w:rsidDel="00000000" w:rsidR="00000000" w:rsidRPr="00000000">
        <w:rPr>
          <w:rtl w:val="0"/>
        </w:rPr>
        <w:t xml:space="preserve">Aprovado. Nenhuma chave ou credencial do Supabase foi commitada no código-fonte; as propriedades foram devidamente externalizadas em variáveis de ambiente.</w:t>
      </w:r>
    </w:p>
    <w:p w:rsidR="00000000" w:rsidDel="00000000" w:rsidP="00000000" w:rsidRDefault="00000000" w:rsidRPr="00000000" w14:paraId="00000047">
      <w:pPr>
        <w:keepNext w:val="1"/>
        <w:spacing w:after="4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65d"/>
          <w:sz w:val="23"/>
          <w:szCs w:val="23"/>
          <w:rtl w:val="0"/>
        </w:rPr>
        <w:t xml:space="preserve">Teste 2: Injeção de Código e Parâmetros (SQLi / NoSQLi)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40" w:lineRule="auto"/>
        <w:ind w:left="288" w:firstLine="0"/>
        <w:rPr/>
      </w:pPr>
      <w:r w:rsidDel="00000000" w:rsidR="00000000" w:rsidRPr="00000000">
        <w:rPr>
          <w:b w:val="1"/>
          <w:bCs w:val="1"/>
          <w:color w:val="4b6b94"/>
          <w:rtl w:val="0"/>
        </w:rPr>
        <w:t xml:space="preserve">Ferramenta Utilizada: </w:t>
      </w:r>
      <w:r w:rsidDel="00000000" w:rsidR="00000000" w:rsidRPr="00000000">
        <w:rPr>
          <w:rtl w:val="0"/>
        </w:rPr>
        <w:t xml:space="preserve">OWASP ZAP / Testes de Integração @SpringBootTest.</w:t>
      </w:r>
    </w:p>
    <w:p w:rsidR="00000000" w:rsidDel="00000000" w:rsidP="00000000" w:rsidRDefault="00000000" w:rsidRPr="00000000" w14:paraId="00000049">
      <w:pPr>
        <w:spacing w:after="40" w:lineRule="auto"/>
        <w:ind w:left="288" w:firstLine="0"/>
        <w:rPr/>
      </w:pPr>
      <w:r w:rsidDel="00000000" w:rsidR="00000000" w:rsidRPr="00000000">
        <w:rPr>
          <w:b w:val="1"/>
          <w:bCs w:val="1"/>
          <w:color w:val="4b6b94"/>
          <w:rtl w:val="0"/>
        </w:rPr>
        <w:t xml:space="preserve">Cenário: </w:t>
      </w:r>
      <w:r w:rsidDel="00000000" w:rsidR="00000000" w:rsidRPr="00000000">
        <w:rPr>
          <w:rtl w:val="0"/>
        </w:rPr>
        <w:t xml:space="preserve">Envio de caracteres de escape e código SQL nos parâmetros da rota de pesquisa e no serviço de avaliações (reviews).</w:t>
      </w:r>
    </w:p>
    <w:p w:rsidR="00000000" w:rsidDel="00000000" w:rsidP="00000000" w:rsidRDefault="00000000" w:rsidRPr="00000000" w14:paraId="0000004A">
      <w:pPr>
        <w:spacing w:after="40" w:lineRule="auto"/>
        <w:ind w:left="288" w:firstLine="0"/>
        <w:rPr/>
      </w:pPr>
      <w:r w:rsidDel="00000000" w:rsidR="00000000" w:rsidRPr="00000000">
        <w:rPr>
          <w:b w:val="1"/>
          <w:bCs w:val="1"/>
          <w:color w:val="4b6b94"/>
          <w:rtl w:val="0"/>
        </w:rPr>
        <w:t xml:space="preserve">Resultado: </w:t>
      </w:r>
      <w:r w:rsidDel="00000000" w:rsidR="00000000" w:rsidRPr="00000000">
        <w:rPr>
          <w:rtl w:val="0"/>
        </w:rPr>
        <w:t xml:space="preserve">Aprovado. As requisições executadas via Spring Data Repositories utilizaram Prepared Statements, anulando qualquer tentativa de SQL Injection no banco Supabase.</w:t>
      </w:r>
    </w:p>
    <w:p w:rsidR="00000000" w:rsidDel="00000000" w:rsidP="00000000" w:rsidRDefault="00000000" w:rsidRPr="00000000" w14:paraId="0000004B">
      <w:pPr>
        <w:keepNext w:val="1"/>
        <w:spacing w:after="4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65d"/>
          <w:sz w:val="23"/>
          <w:szCs w:val="23"/>
          <w:rtl w:val="0"/>
        </w:rPr>
        <w:t xml:space="preserve">Teste 3: Controle de Acesso Quebrado (IDOR em Favoritos e Histórico)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40" w:lineRule="auto"/>
        <w:ind w:left="288" w:firstLine="0"/>
        <w:rPr/>
      </w:pPr>
      <w:r w:rsidDel="00000000" w:rsidR="00000000" w:rsidRPr="00000000">
        <w:rPr>
          <w:b w:val="1"/>
          <w:bCs w:val="1"/>
          <w:color w:val="4b6b94"/>
          <w:rtl w:val="0"/>
        </w:rPr>
        <w:t xml:space="preserve">Ferramenta Utilizada: </w:t>
      </w:r>
      <w:r w:rsidDel="00000000" w:rsidR="00000000" w:rsidRPr="00000000">
        <w:rPr>
          <w:rtl w:val="0"/>
        </w:rPr>
        <w:t xml:space="preserve">Postman / Burp Suite.</w:t>
      </w:r>
    </w:p>
    <w:p w:rsidR="00000000" w:rsidDel="00000000" w:rsidP="00000000" w:rsidRDefault="00000000" w:rsidRPr="00000000" w14:paraId="0000004D">
      <w:pPr>
        <w:spacing w:after="40" w:lineRule="auto"/>
        <w:ind w:left="288" w:firstLine="0"/>
        <w:rPr/>
      </w:pPr>
      <w:r w:rsidDel="00000000" w:rsidR="00000000" w:rsidRPr="00000000">
        <w:rPr>
          <w:b w:val="1"/>
          <w:bCs w:val="1"/>
          <w:color w:val="4b6b94"/>
          <w:rtl w:val="0"/>
        </w:rPr>
        <w:t xml:space="preserve">Cenário: </w:t>
      </w:r>
      <w:r w:rsidDel="00000000" w:rsidR="00000000" w:rsidRPr="00000000">
        <w:rPr>
          <w:rtl w:val="0"/>
        </w:rPr>
        <w:t xml:space="preserve">Um usuário autenticado tentou alterar e deletar a lista de favoritos (favorites) pertencente a outro user_id alterando os valores no DTO de requisição.</w:t>
      </w:r>
    </w:p>
    <w:p w:rsidR="00000000" w:rsidDel="00000000" w:rsidP="00000000" w:rsidRDefault="00000000" w:rsidRPr="00000000" w14:paraId="0000004E">
      <w:pPr>
        <w:spacing w:after="40" w:lineRule="auto"/>
        <w:ind w:left="288" w:firstLine="0"/>
        <w:rPr/>
      </w:pPr>
      <w:r w:rsidDel="00000000" w:rsidR="00000000" w:rsidRPr="00000000">
        <w:rPr>
          <w:b w:val="1"/>
          <w:bCs w:val="1"/>
          <w:color w:val="4b6b94"/>
          <w:rtl w:val="0"/>
        </w:rPr>
        <w:t xml:space="preserve">Resultado: </w:t>
      </w:r>
      <w:r w:rsidDel="00000000" w:rsidR="00000000" w:rsidRPr="00000000">
        <w:rPr>
          <w:rtl w:val="0"/>
        </w:rPr>
        <w:t xml:space="preserve">Aprovado. O favorite_service valida se o ID do recurso solicitado pertence ao usuário extraído do contexto de segurança do Spring Security, retornando 403 Forbidden quando diverge.</w:t>
      </w:r>
    </w:p>
    <w:p w:rsidR="00000000" w:rsidDel="00000000" w:rsidP="00000000" w:rsidRDefault="00000000" w:rsidRPr="00000000" w14:paraId="0000004F">
      <w:pPr>
        <w:keepNext w:val="1"/>
        <w:spacing w:after="4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65d"/>
          <w:sz w:val="23"/>
          <w:szCs w:val="23"/>
          <w:rtl w:val="0"/>
        </w:rPr>
        <w:t xml:space="preserve">Teste 4: Proteção de Comunicação e Armazenamento Sensível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40" w:lineRule="auto"/>
        <w:ind w:left="288" w:firstLine="0"/>
        <w:rPr/>
      </w:pPr>
      <w:r w:rsidDel="00000000" w:rsidR="00000000" w:rsidRPr="00000000">
        <w:rPr>
          <w:b w:val="1"/>
          <w:bCs w:val="1"/>
          <w:color w:val="4b6b94"/>
          <w:rtl w:val="0"/>
        </w:rPr>
        <w:t xml:space="preserve">Ferramenta Utilizada: </w:t>
      </w:r>
      <w:r w:rsidDel="00000000" w:rsidR="00000000" w:rsidRPr="00000000">
        <w:rPr>
          <w:rtl w:val="0"/>
        </w:rPr>
        <w:t xml:space="preserve">SSL Labs / Spring Security Configuration Check.</w:t>
      </w:r>
    </w:p>
    <w:p w:rsidR="00000000" w:rsidDel="00000000" w:rsidP="00000000" w:rsidRDefault="00000000" w:rsidRPr="00000000" w14:paraId="00000051">
      <w:pPr>
        <w:spacing w:after="40" w:lineRule="auto"/>
        <w:ind w:left="288" w:firstLine="0"/>
        <w:rPr/>
      </w:pPr>
      <w:r w:rsidDel="00000000" w:rsidR="00000000" w:rsidRPr="00000000">
        <w:rPr>
          <w:b w:val="1"/>
          <w:bCs w:val="1"/>
          <w:color w:val="4b6b94"/>
          <w:rtl w:val="0"/>
        </w:rPr>
        <w:t xml:space="preserve">Resultado: </w:t>
      </w:r>
      <w:r w:rsidDel="00000000" w:rsidR="00000000" w:rsidRPr="00000000">
        <w:rPr>
          <w:rtl w:val="0"/>
        </w:rPr>
        <w:t xml:space="preserve">Garantia de tráfego 100% criptografado via TLS/HTTPS entre o Spring Boot, os clientes de integração (google_books / open_library) e a nuvem do Supabase, com senhas de usuários protegidas por algoritmo de Hashing forte.</w:t>
      </w:r>
    </w:p>
    <w:p w:rsidR="00000000" w:rsidDel="00000000" w:rsidP="00000000" w:rsidRDefault="00000000" w:rsidRPr="00000000" w14:paraId="00000052">
      <w:pPr>
        <w:keepNext w:val="1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65d"/>
          <w:sz w:val="32"/>
          <w:szCs w:val="32"/>
          <w:rtl w:val="0"/>
        </w:rPr>
        <w:t xml:space="preserve">4. Fundamentação Científica e Normativa (4 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 arquitetura e os mecanismos de segurança adotados no projeto baseiam-se em consolidadas normas internacionais de desenvolvimento de software e proteção de dados: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365d"/>
          <w:sz w:val="22"/>
          <w:szCs w:val="22"/>
          <w:u w:val="none"/>
          <w:shd w:fill="auto" w:val="clear"/>
          <w:vertAlign w:val="baseline"/>
          <w:rtl w:val="0"/>
        </w:rPr>
        <w:t xml:space="preserve">OWASP Top 10 (2021) &amp; OWASP API Security Top 10 (2023):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Empregado no direcionamento do desenvolvimento seguro em Spring Boot, mitigando especialmente A01: Broken Access Control (validado na camada Service) e A03: Injection (trata de dados via JPA/DTOs).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365d"/>
          <w:sz w:val="22"/>
          <w:szCs w:val="22"/>
          <w:u w:val="none"/>
          <w:shd w:fill="auto" w:val="clear"/>
          <w:vertAlign w:val="baseline"/>
          <w:rtl w:val="0"/>
        </w:rPr>
        <w:t xml:space="preserve">Conceito de Copyright Compliance &amp; Fair Use: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Fundamentação científica e jurídica para plataformas acadêmicas: a aplicação não realiza o download, armazenamento ou retransmissão ilegal de arquivos protegidos, limitando-se ao papel de indexador/agregador com redirecionamento transparente para os detentores dos direitos autorais.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365d"/>
          <w:sz w:val="22"/>
          <w:szCs w:val="22"/>
          <w:u w:val="none"/>
          <w:shd w:fill="auto" w:val="clear"/>
          <w:vertAlign w:val="baseline"/>
          <w:rtl w:val="0"/>
        </w:rPr>
        <w:t xml:space="preserve">NIST SP 800-63B (Digital Identity Guidelines):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Aplicado no design do módulo de contas (accounts), estabelecendo diretrizes seguras para criação de senhas, armazenamento por meio de funções de Hashing unidirecionais e gerenciamento de sessões.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365d"/>
          <w:sz w:val="22"/>
          <w:szCs w:val="22"/>
          <w:u w:val="none"/>
          <w:shd w:fill="auto" w:val="clear"/>
          <w:vertAlign w:val="baseline"/>
          <w:rtl w:val="0"/>
        </w:rPr>
        <w:t xml:space="preserve">Lei Geral de Proteção de Dados Pessoais (LGPD - Lei nº 13.709/2018):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Adoção dos princípios de Data Minimization e Privacy by Design. O banco de dados no Supabase armazena estritamente as informações necessárias para o funcionamento do MVP (dados de cadastro, favoritos e histórico de buscas do estudante).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22222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