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349AE" w14:textId="77777777" w:rsidR="00622AD9" w:rsidRPr="00D02B7C" w:rsidRDefault="00622AD9" w:rsidP="00622AD9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D02B7C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5DF917BA" wp14:editId="381017B5">
            <wp:simplePos x="0" y="0"/>
            <wp:positionH relativeFrom="column">
              <wp:posOffset>4667250</wp:posOffset>
            </wp:positionH>
            <wp:positionV relativeFrom="paragraph">
              <wp:posOffset>-295275</wp:posOffset>
            </wp:positionV>
            <wp:extent cx="1423670" cy="1514475"/>
            <wp:effectExtent l="0" t="0" r="5080" b="9525"/>
            <wp:wrapNone/>
            <wp:docPr id="1576797102" name="Imagen 2" descr="Image result for logo umg 50 añ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 Imagen" descr="Image result for logo umg 50 años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84" t="7053" b="30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367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2B7C">
        <w:rPr>
          <w:rFonts w:ascii="Arial" w:hAnsi="Arial" w:cs="Arial"/>
          <w:b/>
          <w:sz w:val="20"/>
          <w:szCs w:val="20"/>
        </w:rPr>
        <w:t>UNIVERSIDAD MARIANO GALVEZ DE GUATEMALA</w:t>
      </w:r>
      <w:r w:rsidRPr="00D02B7C">
        <w:rPr>
          <w:rFonts w:ascii="Arial" w:hAnsi="Arial" w:cs="Arial"/>
          <w:b/>
          <w:sz w:val="20"/>
          <w:szCs w:val="20"/>
        </w:rPr>
        <w:br/>
        <w:t>FACULTA DE INGENIERIA EN SISTEMAS</w:t>
      </w:r>
    </w:p>
    <w:p w14:paraId="4EFE5E32" w14:textId="77777777" w:rsidR="00622AD9" w:rsidRPr="00D02B7C" w:rsidRDefault="00622AD9" w:rsidP="00622AD9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D02B7C">
        <w:rPr>
          <w:rFonts w:ascii="Arial" w:hAnsi="Arial" w:cs="Arial"/>
          <w:b/>
          <w:sz w:val="20"/>
          <w:szCs w:val="20"/>
        </w:rPr>
        <w:t>CENTRO DE JOCOTENANGO</w:t>
      </w:r>
    </w:p>
    <w:p w14:paraId="0F7070AB" w14:textId="77777777" w:rsidR="00622AD9" w:rsidRPr="00D02B7C" w:rsidRDefault="00622AD9" w:rsidP="00622AD9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D02B7C">
        <w:rPr>
          <w:rFonts w:ascii="Arial" w:hAnsi="Arial" w:cs="Arial"/>
          <w:b/>
          <w:sz w:val="20"/>
          <w:szCs w:val="20"/>
        </w:rPr>
        <w:t xml:space="preserve">CATEDRATICO: ING. MARIO </w:t>
      </w:r>
      <w:r>
        <w:rPr>
          <w:rFonts w:ascii="Arial" w:hAnsi="Arial" w:cs="Arial"/>
          <w:b/>
          <w:sz w:val="20"/>
          <w:szCs w:val="20"/>
        </w:rPr>
        <w:t xml:space="preserve">ROBERTO </w:t>
      </w:r>
      <w:r w:rsidRPr="00D02B7C">
        <w:rPr>
          <w:rFonts w:ascii="Arial" w:hAnsi="Arial" w:cs="Arial"/>
          <w:b/>
          <w:sz w:val="20"/>
          <w:szCs w:val="20"/>
        </w:rPr>
        <w:t>FUENTES</w:t>
      </w:r>
    </w:p>
    <w:p w14:paraId="679F150E" w14:textId="77777777" w:rsidR="00622AD9" w:rsidRPr="00D02B7C" w:rsidRDefault="00622AD9" w:rsidP="00622AD9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D02B7C">
        <w:rPr>
          <w:rFonts w:ascii="Arial" w:hAnsi="Arial" w:cs="Arial"/>
          <w:b/>
          <w:sz w:val="20"/>
          <w:szCs w:val="20"/>
        </w:rPr>
        <w:t>CURSO: ANALISIS DE SISTEMAS II</w:t>
      </w:r>
    </w:p>
    <w:p w14:paraId="5CF7981F" w14:textId="77777777" w:rsidR="00622AD9" w:rsidRPr="00D02B7C" w:rsidRDefault="00622AD9" w:rsidP="00622AD9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D02B7C">
        <w:rPr>
          <w:rFonts w:ascii="Arial" w:hAnsi="Arial" w:cs="Arial"/>
          <w:b/>
          <w:sz w:val="20"/>
          <w:szCs w:val="20"/>
        </w:rPr>
        <w:t>SECCION: “B”</w:t>
      </w:r>
      <w:r w:rsidRPr="00D02B7C">
        <w:rPr>
          <w:rFonts w:ascii="Arial" w:hAnsi="Arial" w:cs="Arial"/>
          <w:b/>
          <w:sz w:val="20"/>
          <w:szCs w:val="20"/>
        </w:rPr>
        <w:br/>
      </w:r>
    </w:p>
    <w:p w14:paraId="2193B588" w14:textId="77777777" w:rsidR="00622AD9" w:rsidRDefault="00622AD9" w:rsidP="00622AD9">
      <w:pPr>
        <w:rPr>
          <w:rFonts w:ascii="Arial" w:hAnsi="Arial" w:cs="Arial"/>
          <w:sz w:val="20"/>
          <w:szCs w:val="20"/>
        </w:rPr>
      </w:pPr>
    </w:p>
    <w:p w14:paraId="3AA7D4D5" w14:textId="77777777" w:rsidR="00622AD9" w:rsidRPr="00D02B7C" w:rsidRDefault="00622AD9" w:rsidP="00622AD9">
      <w:pPr>
        <w:rPr>
          <w:rFonts w:ascii="Arial" w:hAnsi="Arial" w:cs="Arial"/>
          <w:sz w:val="20"/>
          <w:szCs w:val="20"/>
        </w:rPr>
      </w:pPr>
    </w:p>
    <w:p w14:paraId="539CD295" w14:textId="77777777" w:rsidR="00622AD9" w:rsidRPr="00D02B7C" w:rsidRDefault="00622AD9" w:rsidP="00622AD9">
      <w:pPr>
        <w:rPr>
          <w:rFonts w:ascii="Arial" w:hAnsi="Arial" w:cs="Arial"/>
          <w:sz w:val="20"/>
          <w:szCs w:val="20"/>
        </w:rPr>
      </w:pPr>
    </w:p>
    <w:p w14:paraId="42478ADA" w14:textId="77777777" w:rsidR="00622AD9" w:rsidRDefault="00622AD9" w:rsidP="00622AD9">
      <w:pPr>
        <w:spacing w:line="360" w:lineRule="auto"/>
        <w:rPr>
          <w:rFonts w:ascii="Arial" w:hAnsi="Arial" w:cs="Arial"/>
          <w:sz w:val="20"/>
          <w:szCs w:val="20"/>
        </w:rPr>
      </w:pPr>
    </w:p>
    <w:p w14:paraId="4DA6962D" w14:textId="77777777" w:rsidR="00622AD9" w:rsidRPr="0093520F" w:rsidRDefault="00622AD9" w:rsidP="00622AD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93520F">
        <w:rPr>
          <w:rFonts w:ascii="Arial" w:hAnsi="Arial" w:cs="Arial"/>
          <w:b/>
          <w:bCs/>
          <w:sz w:val="24"/>
          <w:szCs w:val="24"/>
        </w:rPr>
        <w:t>PLATAFORMA NACIONAL PARA LA GESTIÓN INTEGRAL DE BECAS</w:t>
      </w:r>
    </w:p>
    <w:p w14:paraId="0ADC130B" w14:textId="4EF5387D" w:rsidR="00622AD9" w:rsidRPr="0093520F" w:rsidRDefault="00622AD9" w:rsidP="00622AD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Justificación de patrones de Diseño</w:t>
      </w:r>
    </w:p>
    <w:p w14:paraId="37D3468B" w14:textId="31615DC9" w:rsidR="00622AD9" w:rsidRPr="0093520F" w:rsidRDefault="00622AD9" w:rsidP="00622AD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 creacionales – 2 estructurales – 2 de comportamiento</w:t>
      </w:r>
    </w:p>
    <w:p w14:paraId="3F460927" w14:textId="77777777" w:rsidR="00622AD9" w:rsidRPr="00D02B7C" w:rsidRDefault="00622AD9" w:rsidP="00622AD9">
      <w:pPr>
        <w:spacing w:line="360" w:lineRule="auto"/>
        <w:rPr>
          <w:rFonts w:ascii="Arial" w:hAnsi="Arial" w:cs="Arial"/>
          <w:b/>
          <w:sz w:val="20"/>
          <w:szCs w:val="20"/>
        </w:rPr>
      </w:pPr>
    </w:p>
    <w:p w14:paraId="7CDA0205" w14:textId="77777777" w:rsidR="00622AD9" w:rsidRDefault="00622AD9" w:rsidP="00622AD9">
      <w:pPr>
        <w:rPr>
          <w:rFonts w:ascii="Arial" w:hAnsi="Arial" w:cs="Arial"/>
          <w:b/>
          <w:sz w:val="20"/>
          <w:szCs w:val="20"/>
        </w:rPr>
      </w:pPr>
    </w:p>
    <w:p w14:paraId="528C6663" w14:textId="77777777" w:rsidR="00622AD9" w:rsidRPr="00D02B7C" w:rsidRDefault="00622AD9" w:rsidP="00622AD9">
      <w:pPr>
        <w:rPr>
          <w:rFonts w:ascii="Arial" w:hAnsi="Arial" w:cs="Arial"/>
          <w:b/>
          <w:sz w:val="20"/>
          <w:szCs w:val="20"/>
        </w:rPr>
      </w:pPr>
    </w:p>
    <w:p w14:paraId="6F40C572" w14:textId="77777777" w:rsidR="00622AD9" w:rsidRPr="00D02B7C" w:rsidRDefault="00622AD9" w:rsidP="00622AD9">
      <w:pPr>
        <w:rPr>
          <w:rFonts w:ascii="Arial" w:hAnsi="Arial" w:cs="Arial"/>
          <w:b/>
          <w:sz w:val="20"/>
          <w:szCs w:val="20"/>
        </w:rPr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400"/>
        <w:gridCol w:w="6960"/>
      </w:tblGrid>
      <w:tr w:rsidR="00622AD9" w:rsidRPr="00977300" w14:paraId="7FEBD54D" w14:textId="77777777" w:rsidTr="00B85BEC">
        <w:tc>
          <w:tcPr>
            <w:tcW w:w="2400" w:type="dxa"/>
          </w:tcPr>
          <w:p w14:paraId="22E38C52" w14:textId="77777777" w:rsidR="00622AD9" w:rsidRPr="00FC76DB" w:rsidRDefault="00622AD9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Proyecto</w:t>
            </w:r>
          </w:p>
        </w:tc>
        <w:tc>
          <w:tcPr>
            <w:tcW w:w="6960" w:type="dxa"/>
          </w:tcPr>
          <w:p w14:paraId="0E8ADA78" w14:textId="77777777" w:rsidR="00622AD9" w:rsidRPr="00FC76DB" w:rsidRDefault="00622AD9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Plataforma Nacional para la Gestión Integral de Becas</w:t>
            </w:r>
          </w:p>
        </w:tc>
      </w:tr>
      <w:tr w:rsidR="00622AD9" w:rsidRPr="00977300" w14:paraId="71AA60FC" w14:textId="77777777" w:rsidTr="00B85BEC">
        <w:tc>
          <w:tcPr>
            <w:tcW w:w="2400" w:type="dxa"/>
          </w:tcPr>
          <w:p w14:paraId="1562F585" w14:textId="77777777" w:rsidR="00622AD9" w:rsidRPr="00FC76DB" w:rsidRDefault="00622AD9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6960" w:type="dxa"/>
          </w:tcPr>
          <w:p w14:paraId="10719D40" w14:textId="77777777" w:rsidR="00622AD9" w:rsidRPr="00FC76DB" w:rsidRDefault="00622AD9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final</w:t>
            </w:r>
          </w:p>
        </w:tc>
      </w:tr>
      <w:tr w:rsidR="00622AD9" w:rsidRPr="00977300" w14:paraId="21FE81FF" w14:textId="77777777" w:rsidTr="00B85BEC">
        <w:tc>
          <w:tcPr>
            <w:tcW w:w="2400" w:type="dxa"/>
          </w:tcPr>
          <w:p w14:paraId="3057A15A" w14:textId="77777777" w:rsidR="00622AD9" w:rsidRPr="00FC76DB" w:rsidRDefault="00622AD9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6960" w:type="dxa"/>
          </w:tcPr>
          <w:p w14:paraId="2CD5D2A3" w14:textId="0B65B0C8" w:rsidR="00622AD9" w:rsidRPr="00FC76DB" w:rsidRDefault="00622AD9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 xml:space="preserve">Creado: </w:t>
            </w:r>
            <w:r>
              <w:rPr>
                <w:rFonts w:ascii="Arial" w:hAnsi="Arial" w:cs="Arial"/>
                <w:sz w:val="20"/>
                <w:szCs w:val="20"/>
              </w:rPr>
              <w:t>15</w:t>
            </w:r>
            <w:r w:rsidRPr="00FC76DB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Pr="00FC76DB">
              <w:rPr>
                <w:rFonts w:ascii="Arial" w:hAnsi="Arial" w:cs="Arial"/>
                <w:sz w:val="20"/>
                <w:szCs w:val="20"/>
              </w:rPr>
              <w:t xml:space="preserve">/2026 </w:t>
            </w:r>
          </w:p>
        </w:tc>
      </w:tr>
      <w:tr w:rsidR="00622AD9" w:rsidRPr="00977300" w14:paraId="0118081F" w14:textId="77777777" w:rsidTr="00B85BEC">
        <w:tc>
          <w:tcPr>
            <w:tcW w:w="2400" w:type="dxa"/>
          </w:tcPr>
          <w:p w14:paraId="3BCDD1C1" w14:textId="77777777" w:rsidR="00622AD9" w:rsidRPr="00FC76DB" w:rsidRDefault="00622AD9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Product Owner</w:t>
            </w:r>
          </w:p>
        </w:tc>
        <w:tc>
          <w:tcPr>
            <w:tcW w:w="6960" w:type="dxa"/>
          </w:tcPr>
          <w:p w14:paraId="61F4A2D7" w14:textId="77777777" w:rsidR="00622AD9" w:rsidRPr="00FC76DB" w:rsidRDefault="00622AD9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Ing. Mario Fuentes (docente)</w:t>
            </w:r>
          </w:p>
        </w:tc>
      </w:tr>
      <w:tr w:rsidR="00622AD9" w:rsidRPr="00977300" w14:paraId="3485BF12" w14:textId="77777777" w:rsidTr="00B85BEC">
        <w:tc>
          <w:tcPr>
            <w:tcW w:w="2400" w:type="dxa"/>
          </w:tcPr>
          <w:p w14:paraId="11FC43F6" w14:textId="77777777" w:rsidR="00622AD9" w:rsidRPr="00FC76DB" w:rsidRDefault="00622AD9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Equipo</w:t>
            </w:r>
          </w:p>
        </w:tc>
        <w:tc>
          <w:tcPr>
            <w:tcW w:w="6960" w:type="dxa"/>
          </w:tcPr>
          <w:p w14:paraId="15C7FEC6" w14:textId="77777777" w:rsidR="00622AD9" w:rsidRPr="00FC76DB" w:rsidRDefault="00622AD9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Grupo 1</w:t>
            </w:r>
          </w:p>
        </w:tc>
      </w:tr>
      <w:tr w:rsidR="00622AD9" w:rsidRPr="00977300" w14:paraId="24540415" w14:textId="77777777" w:rsidTr="00B85BEC">
        <w:tc>
          <w:tcPr>
            <w:tcW w:w="2400" w:type="dxa"/>
          </w:tcPr>
          <w:p w14:paraId="09FFDC2A" w14:textId="77777777" w:rsidR="00622AD9" w:rsidRPr="00FC76DB" w:rsidRDefault="00622AD9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Documento</w:t>
            </w:r>
          </w:p>
        </w:tc>
        <w:tc>
          <w:tcPr>
            <w:tcW w:w="6960" w:type="dxa"/>
          </w:tcPr>
          <w:p w14:paraId="37ADDF15" w14:textId="42D897AB" w:rsidR="00622AD9" w:rsidRPr="0093520F" w:rsidRDefault="00622AD9" w:rsidP="00B85BEC">
            <w:pPr>
              <w:spacing w:after="3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Justificación de Patrones de Diseño</w:t>
            </w:r>
          </w:p>
        </w:tc>
      </w:tr>
    </w:tbl>
    <w:p w14:paraId="462D5486" w14:textId="77777777" w:rsidR="00622AD9" w:rsidRDefault="00622AD9" w:rsidP="00622AD9">
      <w:pPr>
        <w:rPr>
          <w:rFonts w:ascii="Arial" w:hAnsi="Arial" w:cs="Arial"/>
          <w:b/>
          <w:sz w:val="20"/>
          <w:szCs w:val="20"/>
        </w:rPr>
      </w:pPr>
    </w:p>
    <w:p w14:paraId="541069AD" w14:textId="77777777" w:rsidR="00622AD9" w:rsidRDefault="00622AD9" w:rsidP="00622AD9">
      <w:pPr>
        <w:rPr>
          <w:rFonts w:ascii="Arial" w:hAnsi="Arial" w:cs="Arial"/>
          <w:b/>
          <w:sz w:val="20"/>
          <w:szCs w:val="20"/>
        </w:rPr>
      </w:pPr>
    </w:p>
    <w:p w14:paraId="14B2F940" w14:textId="77777777" w:rsidR="00622AD9" w:rsidRDefault="00622AD9" w:rsidP="00622AD9">
      <w:pPr>
        <w:rPr>
          <w:rFonts w:ascii="Arial" w:hAnsi="Arial" w:cs="Arial"/>
          <w:b/>
          <w:sz w:val="20"/>
          <w:szCs w:val="20"/>
        </w:rPr>
      </w:pPr>
    </w:p>
    <w:p w14:paraId="3110D934" w14:textId="77777777" w:rsidR="00622AD9" w:rsidRPr="00D02B7C" w:rsidRDefault="00622AD9" w:rsidP="00622AD9">
      <w:pPr>
        <w:rPr>
          <w:rFonts w:ascii="Arial" w:hAnsi="Arial" w:cs="Arial"/>
          <w:b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4213" w:tblpY="186"/>
        <w:tblW w:w="5103" w:type="dxa"/>
        <w:tblLook w:val="04A0" w:firstRow="1" w:lastRow="0" w:firstColumn="1" w:lastColumn="0" w:noHBand="0" w:noVBand="1"/>
      </w:tblPr>
      <w:tblGrid>
        <w:gridCol w:w="1632"/>
        <w:gridCol w:w="3471"/>
      </w:tblGrid>
      <w:tr w:rsidR="00622AD9" w:rsidRPr="00D02B7C" w14:paraId="00F2CF41" w14:textId="77777777" w:rsidTr="00B85BEC">
        <w:tc>
          <w:tcPr>
            <w:tcW w:w="1632" w:type="dxa"/>
            <w:hideMark/>
          </w:tcPr>
          <w:p w14:paraId="6E696845" w14:textId="77777777" w:rsidR="00622AD9" w:rsidRPr="00D02B7C" w:rsidRDefault="00622AD9" w:rsidP="00B85BEC">
            <w:pPr>
              <w:spacing w:after="16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2B7C">
              <w:rPr>
                <w:rFonts w:ascii="Arial" w:hAnsi="Arial" w:cs="Arial"/>
                <w:b/>
                <w:sz w:val="20"/>
                <w:szCs w:val="20"/>
              </w:rPr>
              <w:t>Carné</w:t>
            </w:r>
          </w:p>
        </w:tc>
        <w:tc>
          <w:tcPr>
            <w:tcW w:w="3471" w:type="dxa"/>
            <w:hideMark/>
          </w:tcPr>
          <w:p w14:paraId="5CD20ABD" w14:textId="77777777" w:rsidR="00622AD9" w:rsidRPr="00D02B7C" w:rsidRDefault="00622AD9" w:rsidP="00B85BEC">
            <w:pPr>
              <w:spacing w:after="16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2B7C">
              <w:rPr>
                <w:rFonts w:ascii="Arial" w:hAnsi="Arial" w:cs="Arial"/>
                <w:b/>
                <w:sz w:val="20"/>
                <w:szCs w:val="20"/>
              </w:rPr>
              <w:t>Nombre completo</w:t>
            </w:r>
          </w:p>
        </w:tc>
      </w:tr>
      <w:tr w:rsidR="00622AD9" w:rsidRPr="00D02B7C" w14:paraId="60BA71BD" w14:textId="77777777" w:rsidTr="00B85BEC">
        <w:trPr>
          <w:trHeight w:val="440"/>
        </w:trPr>
        <w:tc>
          <w:tcPr>
            <w:tcW w:w="1632" w:type="dxa"/>
          </w:tcPr>
          <w:p w14:paraId="7E0594E0" w14:textId="77777777" w:rsidR="00622AD9" w:rsidRPr="00FC76DB" w:rsidRDefault="00622AD9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0910-23-21648</w:t>
            </w:r>
          </w:p>
        </w:tc>
        <w:tc>
          <w:tcPr>
            <w:tcW w:w="3471" w:type="dxa"/>
          </w:tcPr>
          <w:p w14:paraId="372D5248" w14:textId="77777777" w:rsidR="00622AD9" w:rsidRPr="00FC76DB" w:rsidRDefault="00622AD9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Alvaro Daniel Tubac López</w:t>
            </w:r>
          </w:p>
        </w:tc>
      </w:tr>
      <w:tr w:rsidR="00622AD9" w:rsidRPr="00D02B7C" w14:paraId="21D543CC" w14:textId="77777777" w:rsidTr="00B85BEC">
        <w:trPr>
          <w:trHeight w:val="404"/>
        </w:trPr>
        <w:tc>
          <w:tcPr>
            <w:tcW w:w="1632" w:type="dxa"/>
          </w:tcPr>
          <w:p w14:paraId="6BAA5AD7" w14:textId="77777777" w:rsidR="00622AD9" w:rsidRPr="00FC76DB" w:rsidRDefault="00622AD9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0910-23-20428</w:t>
            </w:r>
          </w:p>
        </w:tc>
        <w:tc>
          <w:tcPr>
            <w:tcW w:w="3471" w:type="dxa"/>
          </w:tcPr>
          <w:p w14:paraId="016BDBA0" w14:textId="77777777" w:rsidR="00622AD9" w:rsidRPr="00FC76DB" w:rsidRDefault="00622AD9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Jonathan Enrique Toc López</w:t>
            </w:r>
          </w:p>
        </w:tc>
      </w:tr>
      <w:tr w:rsidR="00622AD9" w:rsidRPr="00D02B7C" w14:paraId="7FF50A38" w14:textId="77777777" w:rsidTr="00B85BEC">
        <w:trPr>
          <w:trHeight w:val="409"/>
        </w:trPr>
        <w:tc>
          <w:tcPr>
            <w:tcW w:w="1632" w:type="dxa"/>
          </w:tcPr>
          <w:p w14:paraId="0D96A535" w14:textId="77777777" w:rsidR="00622AD9" w:rsidRPr="00FC76DB" w:rsidRDefault="00622AD9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0910-23-3838</w:t>
            </w:r>
          </w:p>
        </w:tc>
        <w:tc>
          <w:tcPr>
            <w:tcW w:w="3471" w:type="dxa"/>
          </w:tcPr>
          <w:p w14:paraId="674C94CA" w14:textId="77777777" w:rsidR="00622AD9" w:rsidRPr="00FC76DB" w:rsidRDefault="00622AD9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Byron Alberto Martínez Osorio</w:t>
            </w:r>
          </w:p>
        </w:tc>
      </w:tr>
      <w:tr w:rsidR="00622AD9" w:rsidRPr="00D02B7C" w14:paraId="58FB1062" w14:textId="77777777" w:rsidTr="00B85BEC">
        <w:trPr>
          <w:trHeight w:val="409"/>
        </w:trPr>
        <w:tc>
          <w:tcPr>
            <w:tcW w:w="1632" w:type="dxa"/>
          </w:tcPr>
          <w:p w14:paraId="76960006" w14:textId="77777777" w:rsidR="00622AD9" w:rsidRPr="00FC76DB" w:rsidRDefault="00622AD9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0910-23-9932</w:t>
            </w:r>
          </w:p>
        </w:tc>
        <w:tc>
          <w:tcPr>
            <w:tcW w:w="3471" w:type="dxa"/>
          </w:tcPr>
          <w:p w14:paraId="738BE5C8" w14:textId="77777777" w:rsidR="00622AD9" w:rsidRPr="00FC76DB" w:rsidRDefault="00622AD9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Meily Sucely Chonay Cán</w:t>
            </w:r>
          </w:p>
        </w:tc>
      </w:tr>
      <w:tr w:rsidR="00622AD9" w:rsidRPr="00D02B7C" w14:paraId="2908D1D9" w14:textId="77777777" w:rsidTr="00B85BEC">
        <w:trPr>
          <w:trHeight w:val="409"/>
        </w:trPr>
        <w:tc>
          <w:tcPr>
            <w:tcW w:w="1632" w:type="dxa"/>
          </w:tcPr>
          <w:p w14:paraId="32B05AA4" w14:textId="77777777" w:rsidR="00622AD9" w:rsidRPr="00FC76DB" w:rsidRDefault="00622AD9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0910-23-2040</w:t>
            </w:r>
          </w:p>
        </w:tc>
        <w:tc>
          <w:tcPr>
            <w:tcW w:w="3471" w:type="dxa"/>
          </w:tcPr>
          <w:p w14:paraId="329213A8" w14:textId="77777777" w:rsidR="00622AD9" w:rsidRPr="00FC76DB" w:rsidRDefault="00622AD9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Luis Alfredo Velasquez Lopez</w:t>
            </w:r>
          </w:p>
        </w:tc>
      </w:tr>
    </w:tbl>
    <w:p w14:paraId="5267460D" w14:textId="77777777" w:rsidR="00622AD9" w:rsidRDefault="00622AD9" w:rsidP="00622AD9">
      <w:pPr>
        <w:rPr>
          <w:rFonts w:ascii="Arial" w:hAnsi="Arial" w:cs="Arial"/>
          <w:sz w:val="20"/>
          <w:szCs w:val="20"/>
        </w:rPr>
      </w:pPr>
    </w:p>
    <w:p w14:paraId="5EF740DB" w14:textId="77777777" w:rsidR="00622AD9" w:rsidRDefault="00622AD9" w:rsidP="00622AD9">
      <w:pPr>
        <w:rPr>
          <w:rFonts w:ascii="Arial" w:hAnsi="Arial" w:cs="Arial"/>
          <w:sz w:val="20"/>
          <w:szCs w:val="20"/>
        </w:rPr>
      </w:pPr>
    </w:p>
    <w:p w14:paraId="4E7FED1F" w14:textId="77777777" w:rsidR="00622AD9" w:rsidRPr="00D02B7C" w:rsidRDefault="00622AD9" w:rsidP="00622AD9">
      <w:pPr>
        <w:rPr>
          <w:rFonts w:ascii="Arial" w:hAnsi="Arial" w:cs="Arial"/>
          <w:sz w:val="20"/>
          <w:szCs w:val="20"/>
        </w:rPr>
      </w:pPr>
    </w:p>
    <w:p w14:paraId="1CB896C1" w14:textId="77777777" w:rsidR="00622AD9" w:rsidRPr="00D02B7C" w:rsidRDefault="00622AD9" w:rsidP="00622AD9">
      <w:pPr>
        <w:rPr>
          <w:rFonts w:ascii="Arial" w:hAnsi="Arial" w:cs="Arial"/>
          <w:sz w:val="20"/>
          <w:szCs w:val="20"/>
        </w:rPr>
      </w:pPr>
    </w:p>
    <w:p w14:paraId="707C3171" w14:textId="77777777" w:rsidR="00622AD9" w:rsidRPr="00D02B7C" w:rsidRDefault="00622AD9" w:rsidP="00622AD9">
      <w:pPr>
        <w:rPr>
          <w:rFonts w:ascii="Arial" w:hAnsi="Arial" w:cs="Arial"/>
          <w:sz w:val="20"/>
          <w:szCs w:val="20"/>
        </w:rPr>
      </w:pPr>
    </w:p>
    <w:p w14:paraId="6781B941" w14:textId="77777777" w:rsidR="00622AD9" w:rsidRPr="00D02B7C" w:rsidRDefault="00622AD9" w:rsidP="00622AD9">
      <w:pPr>
        <w:rPr>
          <w:rFonts w:ascii="Arial" w:hAnsi="Arial" w:cs="Arial"/>
          <w:sz w:val="20"/>
          <w:szCs w:val="20"/>
        </w:rPr>
      </w:pPr>
    </w:p>
    <w:p w14:paraId="76ACE088" w14:textId="77777777" w:rsidR="00622AD9" w:rsidRPr="00D02B7C" w:rsidRDefault="00622AD9" w:rsidP="00622AD9">
      <w:pPr>
        <w:rPr>
          <w:rFonts w:ascii="Arial" w:hAnsi="Arial" w:cs="Arial"/>
          <w:sz w:val="20"/>
          <w:szCs w:val="20"/>
        </w:rPr>
      </w:pPr>
    </w:p>
    <w:p w14:paraId="612EAD27" w14:textId="77777777" w:rsidR="00622AD9" w:rsidRPr="00D02B7C" w:rsidRDefault="00622AD9" w:rsidP="00622AD9">
      <w:pPr>
        <w:rPr>
          <w:rFonts w:ascii="Arial" w:hAnsi="Arial" w:cs="Arial"/>
          <w:sz w:val="20"/>
          <w:szCs w:val="20"/>
        </w:rPr>
      </w:pPr>
    </w:p>
    <w:p w14:paraId="56B592CC" w14:textId="77777777" w:rsidR="00622AD9" w:rsidRPr="00D02B7C" w:rsidRDefault="00622AD9" w:rsidP="00622AD9">
      <w:pPr>
        <w:rPr>
          <w:rFonts w:ascii="Arial" w:hAnsi="Arial" w:cs="Arial"/>
          <w:sz w:val="20"/>
          <w:szCs w:val="20"/>
        </w:rPr>
      </w:pPr>
    </w:p>
    <w:p w14:paraId="0ECD8FF4" w14:textId="77777777" w:rsidR="00622AD9" w:rsidRPr="00D02B7C" w:rsidRDefault="00622AD9" w:rsidP="00622AD9">
      <w:pPr>
        <w:pStyle w:val="Ttulo"/>
        <w:rPr>
          <w:rFonts w:ascii="Arial" w:hAnsi="Arial" w:cs="Arial"/>
          <w:sz w:val="20"/>
          <w:szCs w:val="20"/>
        </w:rPr>
      </w:pPr>
    </w:p>
    <w:p w14:paraId="46E57B37" w14:textId="77777777" w:rsidR="003E21B5" w:rsidRDefault="003E21B5">
      <w:pPr>
        <w:sectPr w:rsidR="003E21B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CB4D787" w14:textId="42D6B3FB" w:rsidR="003E21B5" w:rsidRPr="00622AD9" w:rsidRDefault="00622AD9" w:rsidP="00622AD9">
      <w:pPr>
        <w:spacing w:before="60" w:after="80"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INDICE</w:t>
      </w:r>
    </w:p>
    <w:p w14:paraId="70BD3B1E" w14:textId="6D42D8F6" w:rsidR="003E21B5" w:rsidRPr="00622AD9" w:rsidRDefault="00000000" w:rsidP="00622AD9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622AD9">
        <w:rPr>
          <w:rFonts w:ascii="Arial" w:hAnsi="Arial" w:cs="Arial"/>
          <w:sz w:val="24"/>
          <w:szCs w:val="24"/>
        </w:rPr>
        <w:t>1.  Introducción y criterio de selección</w:t>
      </w:r>
      <w:r w:rsidR="00622AD9">
        <w:rPr>
          <w:rFonts w:ascii="Arial" w:hAnsi="Arial" w:cs="Arial"/>
          <w:sz w:val="24"/>
          <w:szCs w:val="24"/>
        </w:rPr>
        <w:t>--------------------------------------------------------</w:t>
      </w:r>
      <w:r w:rsidR="002177A7">
        <w:rPr>
          <w:rFonts w:ascii="Arial" w:hAnsi="Arial" w:cs="Arial"/>
          <w:sz w:val="24"/>
          <w:szCs w:val="24"/>
        </w:rPr>
        <w:t>3</w:t>
      </w:r>
    </w:p>
    <w:p w14:paraId="2691EF74" w14:textId="0542D00C" w:rsidR="003E21B5" w:rsidRPr="00622AD9" w:rsidRDefault="00000000" w:rsidP="00622AD9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622AD9">
        <w:rPr>
          <w:rFonts w:ascii="Arial" w:hAnsi="Arial" w:cs="Arial"/>
          <w:sz w:val="24"/>
          <w:szCs w:val="24"/>
        </w:rPr>
        <w:t>2.  Resumen de patrones</w:t>
      </w:r>
      <w:r w:rsidR="00622AD9">
        <w:rPr>
          <w:rFonts w:ascii="Arial" w:hAnsi="Arial" w:cs="Arial"/>
          <w:sz w:val="24"/>
          <w:szCs w:val="24"/>
        </w:rPr>
        <w:t>------------------------------------------------------------------------</w:t>
      </w:r>
      <w:r w:rsidR="002177A7">
        <w:rPr>
          <w:rFonts w:ascii="Arial" w:hAnsi="Arial" w:cs="Arial"/>
          <w:sz w:val="24"/>
          <w:szCs w:val="24"/>
        </w:rPr>
        <w:t>3</w:t>
      </w:r>
    </w:p>
    <w:p w14:paraId="479BEADD" w14:textId="6CDFC9D7" w:rsidR="003E21B5" w:rsidRPr="00622AD9" w:rsidRDefault="00000000" w:rsidP="00622AD9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622AD9">
        <w:rPr>
          <w:rFonts w:ascii="Arial" w:hAnsi="Arial" w:cs="Arial"/>
          <w:sz w:val="24"/>
          <w:szCs w:val="24"/>
        </w:rPr>
        <w:t>3.  Patrones creacionales</w:t>
      </w:r>
      <w:r w:rsidR="00622AD9">
        <w:rPr>
          <w:rFonts w:ascii="Arial" w:hAnsi="Arial" w:cs="Arial"/>
          <w:sz w:val="24"/>
          <w:szCs w:val="24"/>
        </w:rPr>
        <w:t>-----------------------------------------------------------------------</w:t>
      </w:r>
      <w:r w:rsidR="002177A7">
        <w:rPr>
          <w:rFonts w:ascii="Arial" w:hAnsi="Arial" w:cs="Arial"/>
          <w:sz w:val="24"/>
          <w:szCs w:val="24"/>
        </w:rPr>
        <w:t>-3</w:t>
      </w:r>
    </w:p>
    <w:p w14:paraId="438E0331" w14:textId="2631F7CB" w:rsidR="003E21B5" w:rsidRPr="00622AD9" w:rsidRDefault="00000000" w:rsidP="00622AD9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622AD9">
        <w:rPr>
          <w:rFonts w:ascii="Arial" w:hAnsi="Arial" w:cs="Arial"/>
          <w:sz w:val="24"/>
          <w:szCs w:val="24"/>
        </w:rPr>
        <w:t>4.  Patrones estructurales</w:t>
      </w:r>
      <w:r w:rsidR="00622AD9">
        <w:rPr>
          <w:rFonts w:ascii="Arial" w:hAnsi="Arial" w:cs="Arial"/>
          <w:sz w:val="24"/>
          <w:szCs w:val="24"/>
        </w:rPr>
        <w:t>---------------------------------------------------------------------</w:t>
      </w:r>
      <w:r w:rsidR="002177A7">
        <w:rPr>
          <w:rFonts w:ascii="Arial" w:hAnsi="Arial" w:cs="Arial"/>
          <w:sz w:val="24"/>
          <w:szCs w:val="24"/>
        </w:rPr>
        <w:t>-</w:t>
      </w:r>
      <w:r w:rsidR="00622AD9">
        <w:rPr>
          <w:rFonts w:ascii="Arial" w:hAnsi="Arial" w:cs="Arial"/>
          <w:sz w:val="24"/>
          <w:szCs w:val="24"/>
        </w:rPr>
        <w:t>-</w:t>
      </w:r>
      <w:r w:rsidR="002177A7">
        <w:rPr>
          <w:rFonts w:ascii="Arial" w:hAnsi="Arial" w:cs="Arial"/>
          <w:sz w:val="24"/>
          <w:szCs w:val="24"/>
        </w:rPr>
        <w:t>5</w:t>
      </w:r>
    </w:p>
    <w:p w14:paraId="3A1D3FA6" w14:textId="66BA63DC" w:rsidR="003E21B5" w:rsidRPr="00622AD9" w:rsidRDefault="00000000" w:rsidP="00622AD9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622AD9">
        <w:rPr>
          <w:rFonts w:ascii="Arial" w:hAnsi="Arial" w:cs="Arial"/>
          <w:sz w:val="24"/>
          <w:szCs w:val="24"/>
        </w:rPr>
        <w:t>5.  Patrones de comportamiento</w:t>
      </w:r>
      <w:r w:rsidR="00622AD9">
        <w:rPr>
          <w:rFonts w:ascii="Arial" w:hAnsi="Arial" w:cs="Arial"/>
          <w:sz w:val="24"/>
          <w:szCs w:val="24"/>
        </w:rPr>
        <w:t>--------------------------------------------------------------</w:t>
      </w:r>
      <w:r w:rsidR="002177A7">
        <w:rPr>
          <w:rFonts w:ascii="Arial" w:hAnsi="Arial" w:cs="Arial"/>
          <w:sz w:val="24"/>
          <w:szCs w:val="24"/>
        </w:rPr>
        <w:t>7</w:t>
      </w:r>
    </w:p>
    <w:p w14:paraId="0F1F9CC6" w14:textId="4363CCF3" w:rsidR="003E21B5" w:rsidRPr="00622AD9" w:rsidRDefault="00000000" w:rsidP="00622AD9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622AD9">
        <w:rPr>
          <w:rFonts w:ascii="Arial" w:hAnsi="Arial" w:cs="Arial"/>
          <w:sz w:val="24"/>
          <w:szCs w:val="24"/>
        </w:rPr>
        <w:t>6.  Evidencia y verificación</w:t>
      </w:r>
      <w:r w:rsidR="00622AD9">
        <w:rPr>
          <w:rFonts w:ascii="Arial" w:hAnsi="Arial" w:cs="Arial"/>
          <w:sz w:val="24"/>
          <w:szCs w:val="24"/>
        </w:rPr>
        <w:t>---------------------------------------------------------------------</w:t>
      </w:r>
      <w:r w:rsidR="002177A7">
        <w:rPr>
          <w:rFonts w:ascii="Arial" w:hAnsi="Arial" w:cs="Arial"/>
          <w:sz w:val="24"/>
          <w:szCs w:val="24"/>
        </w:rPr>
        <w:t>8</w:t>
      </w:r>
    </w:p>
    <w:p w14:paraId="4ACE06C2" w14:textId="1611E0C3" w:rsidR="00622AD9" w:rsidRDefault="00622AD9" w:rsidP="00622AD9">
      <w:pPr>
        <w:spacing w:after="200" w:line="360" w:lineRule="auto"/>
        <w:rPr>
          <w:rFonts w:ascii="Arial" w:hAnsi="Arial" w:cs="Arial"/>
        </w:rPr>
      </w:pPr>
    </w:p>
    <w:p w14:paraId="46E865CB" w14:textId="77777777" w:rsidR="00622AD9" w:rsidRDefault="00622AD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CE62E78" w14:textId="77777777" w:rsidR="003E21B5" w:rsidRPr="00622AD9" w:rsidRDefault="00000000" w:rsidP="00622AD9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622AD9">
        <w:rPr>
          <w:rFonts w:ascii="Arial" w:hAnsi="Arial" w:cs="Arial"/>
          <w:color w:val="auto"/>
          <w:sz w:val="28"/>
          <w:szCs w:val="28"/>
        </w:rPr>
        <w:lastRenderedPageBreak/>
        <w:t>1. Introducción y criterio de selección</w:t>
      </w:r>
    </w:p>
    <w:p w14:paraId="5C40761C" w14:textId="2FFFF759" w:rsidR="00622AD9" w:rsidRPr="00622AD9" w:rsidRDefault="00000000" w:rsidP="00622AD9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622AD9">
        <w:rPr>
          <w:rFonts w:ascii="Arial" w:hAnsi="Arial" w:cs="Arial"/>
          <w:sz w:val="24"/>
          <w:szCs w:val="24"/>
        </w:rPr>
        <w:t>El objetivo no es usar patrones por obligación, sino resolver problemas de diseño. El enunciado exige evidencia del uso de al menos dos patrones creacionales, dos estructurales y dos de comportamiento, y que cada uno responda cuatro preguntas: qué problema resuelve, qué alternativas existían, por qué se seleccionó y qué ventajas aporta al proyecto.</w:t>
      </w:r>
    </w:p>
    <w:p w14:paraId="5F2E4DBA" w14:textId="17F63AF5" w:rsidR="003E21B5" w:rsidRPr="00622AD9" w:rsidRDefault="00000000" w:rsidP="00622AD9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622AD9">
        <w:rPr>
          <w:rFonts w:ascii="Arial" w:hAnsi="Arial" w:cs="Arial"/>
          <w:color w:val="auto"/>
          <w:sz w:val="28"/>
          <w:szCs w:val="28"/>
        </w:rPr>
        <w:t>2. Resumen de patrones</w:t>
      </w:r>
    </w:p>
    <w:tbl>
      <w:tblPr>
        <w:tblStyle w:val="Tablaconcuadrcula"/>
        <w:tblW w:w="9360" w:type="dxa"/>
        <w:tblLook w:val="0000" w:firstRow="0" w:lastRow="0" w:firstColumn="0" w:lastColumn="0" w:noHBand="0" w:noVBand="0"/>
      </w:tblPr>
      <w:tblGrid>
        <w:gridCol w:w="389"/>
        <w:gridCol w:w="1232"/>
        <w:gridCol w:w="1695"/>
        <w:gridCol w:w="2674"/>
        <w:gridCol w:w="797"/>
        <w:gridCol w:w="2573"/>
      </w:tblGrid>
      <w:tr w:rsidR="003E21B5" w:rsidRPr="00622AD9" w14:paraId="1A0B7FB7" w14:textId="77777777" w:rsidTr="00622AD9">
        <w:tc>
          <w:tcPr>
            <w:tcW w:w="450" w:type="dxa"/>
          </w:tcPr>
          <w:p w14:paraId="0E68B017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500" w:type="dxa"/>
          </w:tcPr>
          <w:p w14:paraId="61381BD3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Patrón</w:t>
            </w:r>
          </w:p>
        </w:tc>
        <w:tc>
          <w:tcPr>
            <w:tcW w:w="1400" w:type="dxa"/>
          </w:tcPr>
          <w:p w14:paraId="409053B4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700" w:type="dxa"/>
          </w:tcPr>
          <w:p w14:paraId="7BE8095D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Dónde se aplica</w:t>
            </w:r>
          </w:p>
        </w:tc>
        <w:tc>
          <w:tcPr>
            <w:tcW w:w="800" w:type="dxa"/>
          </w:tcPr>
          <w:p w14:paraId="0FBC20FC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510" w:type="dxa"/>
          </w:tcPr>
          <w:p w14:paraId="3F4A221D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Evidencia</w:t>
            </w:r>
          </w:p>
        </w:tc>
      </w:tr>
      <w:tr w:rsidR="003E21B5" w:rsidRPr="00622AD9" w14:paraId="0FDB2948" w14:textId="77777777" w:rsidTr="00622AD9">
        <w:tc>
          <w:tcPr>
            <w:tcW w:w="450" w:type="dxa"/>
          </w:tcPr>
          <w:p w14:paraId="462F4667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00" w:type="dxa"/>
          </w:tcPr>
          <w:p w14:paraId="1EACBCBB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Factory Method</w:t>
            </w:r>
          </w:p>
        </w:tc>
        <w:tc>
          <w:tcPr>
            <w:tcW w:w="1400" w:type="dxa"/>
          </w:tcPr>
          <w:p w14:paraId="63D10735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Creacional</w:t>
            </w:r>
          </w:p>
        </w:tc>
        <w:tc>
          <w:tcPr>
            <w:tcW w:w="3700" w:type="dxa"/>
          </w:tcPr>
          <w:p w14:paraId="650E5BB6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Fábrica de estrategias de evaluación según el tipo de beca</w:t>
            </w:r>
          </w:p>
        </w:tc>
        <w:tc>
          <w:tcPr>
            <w:tcW w:w="800" w:type="dxa"/>
          </w:tcPr>
          <w:p w14:paraId="72E13EB0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Sprint 2</w:t>
            </w:r>
          </w:p>
        </w:tc>
        <w:tc>
          <w:tcPr>
            <w:tcW w:w="1510" w:type="dxa"/>
          </w:tcPr>
          <w:p w14:paraId="462EE384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evaluaciones/factories.py</w:t>
            </w:r>
          </w:p>
        </w:tc>
      </w:tr>
      <w:tr w:rsidR="003E21B5" w:rsidRPr="00622AD9" w14:paraId="2D8E35E2" w14:textId="77777777" w:rsidTr="00622AD9">
        <w:tc>
          <w:tcPr>
            <w:tcW w:w="450" w:type="dxa"/>
          </w:tcPr>
          <w:p w14:paraId="65CB58F7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00" w:type="dxa"/>
          </w:tcPr>
          <w:p w14:paraId="4520E335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Builder</w:t>
            </w:r>
          </w:p>
        </w:tc>
        <w:tc>
          <w:tcPr>
            <w:tcW w:w="1400" w:type="dxa"/>
          </w:tcPr>
          <w:p w14:paraId="19B93C2D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Creacional</w:t>
            </w:r>
          </w:p>
        </w:tc>
        <w:tc>
          <w:tcPr>
            <w:tcW w:w="3700" w:type="dxa"/>
          </w:tcPr>
          <w:p w14:paraId="72464E9B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Armado paso a paso de la solicitud con sus documentos de respaldo</w:t>
            </w:r>
          </w:p>
        </w:tc>
        <w:tc>
          <w:tcPr>
            <w:tcW w:w="800" w:type="dxa"/>
          </w:tcPr>
          <w:p w14:paraId="0E427C5C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Sprint 2</w:t>
            </w:r>
          </w:p>
        </w:tc>
        <w:tc>
          <w:tcPr>
            <w:tcW w:w="1510" w:type="dxa"/>
          </w:tcPr>
          <w:p w14:paraId="27A98634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solicitudes/builders.py</w:t>
            </w:r>
          </w:p>
        </w:tc>
      </w:tr>
      <w:tr w:rsidR="003E21B5" w:rsidRPr="00622AD9" w14:paraId="70119C59" w14:textId="77777777" w:rsidTr="00622AD9">
        <w:tc>
          <w:tcPr>
            <w:tcW w:w="450" w:type="dxa"/>
          </w:tcPr>
          <w:p w14:paraId="43B5F365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00" w:type="dxa"/>
          </w:tcPr>
          <w:p w14:paraId="364750CB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Adapter</w:t>
            </w:r>
          </w:p>
        </w:tc>
        <w:tc>
          <w:tcPr>
            <w:tcW w:w="1400" w:type="dxa"/>
          </w:tcPr>
          <w:p w14:paraId="68F3532F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Estructural</w:t>
            </w:r>
          </w:p>
        </w:tc>
        <w:tc>
          <w:tcPr>
            <w:tcW w:w="3700" w:type="dxa"/>
          </w:tcPr>
          <w:p w14:paraId="59CB314D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Interfaz estable para validar identidad ante instituciones externas</w:t>
            </w:r>
          </w:p>
        </w:tc>
        <w:tc>
          <w:tcPr>
            <w:tcW w:w="800" w:type="dxa"/>
          </w:tcPr>
          <w:p w14:paraId="632F4125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Sprint 3</w:t>
            </w:r>
          </w:p>
        </w:tc>
        <w:tc>
          <w:tcPr>
            <w:tcW w:w="1510" w:type="dxa"/>
          </w:tcPr>
          <w:p w14:paraId="26E3110B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solicitudes/adapters.py</w:t>
            </w:r>
          </w:p>
        </w:tc>
      </w:tr>
      <w:tr w:rsidR="003E21B5" w:rsidRPr="00622AD9" w14:paraId="233DDAB7" w14:textId="77777777" w:rsidTr="00622AD9">
        <w:tc>
          <w:tcPr>
            <w:tcW w:w="450" w:type="dxa"/>
          </w:tcPr>
          <w:p w14:paraId="6EA7FBDD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00" w:type="dxa"/>
          </w:tcPr>
          <w:p w14:paraId="3D763F1A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Facade</w:t>
            </w:r>
          </w:p>
        </w:tc>
        <w:tc>
          <w:tcPr>
            <w:tcW w:w="1400" w:type="dxa"/>
          </w:tcPr>
          <w:p w14:paraId="7C5F9EFC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Estructural</w:t>
            </w:r>
          </w:p>
        </w:tc>
        <w:tc>
          <w:tcPr>
            <w:tcW w:w="3700" w:type="dxa"/>
          </w:tcPr>
          <w:p w14:paraId="7B6321E1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SolicitudService frente a las vistas</w:t>
            </w:r>
          </w:p>
        </w:tc>
        <w:tc>
          <w:tcPr>
            <w:tcW w:w="800" w:type="dxa"/>
          </w:tcPr>
          <w:p w14:paraId="2517AA27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Sprint 2</w:t>
            </w:r>
          </w:p>
        </w:tc>
        <w:tc>
          <w:tcPr>
            <w:tcW w:w="1510" w:type="dxa"/>
          </w:tcPr>
          <w:p w14:paraId="17E765EC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solicitudes/services.py</w:t>
            </w:r>
          </w:p>
        </w:tc>
      </w:tr>
      <w:tr w:rsidR="003E21B5" w:rsidRPr="00622AD9" w14:paraId="6EF5A7B0" w14:textId="77777777" w:rsidTr="00622AD9">
        <w:tc>
          <w:tcPr>
            <w:tcW w:w="450" w:type="dxa"/>
          </w:tcPr>
          <w:p w14:paraId="16FC5901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00" w:type="dxa"/>
          </w:tcPr>
          <w:p w14:paraId="69EF2984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State</w:t>
            </w:r>
          </w:p>
        </w:tc>
        <w:tc>
          <w:tcPr>
            <w:tcW w:w="1400" w:type="dxa"/>
          </w:tcPr>
          <w:p w14:paraId="1718A8F6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Comportamiento</w:t>
            </w:r>
          </w:p>
        </w:tc>
        <w:tc>
          <w:tcPr>
            <w:tcW w:w="3700" w:type="dxa"/>
          </w:tcPr>
          <w:p w14:paraId="2816B072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Ciclo de vida de la solicitud y sus transiciones</w:t>
            </w:r>
          </w:p>
        </w:tc>
        <w:tc>
          <w:tcPr>
            <w:tcW w:w="800" w:type="dxa"/>
          </w:tcPr>
          <w:p w14:paraId="097BDF68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Sprint 2</w:t>
            </w:r>
          </w:p>
        </w:tc>
        <w:tc>
          <w:tcPr>
            <w:tcW w:w="1510" w:type="dxa"/>
          </w:tcPr>
          <w:p w14:paraId="70365206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solicitudes/states.py</w:t>
            </w:r>
          </w:p>
        </w:tc>
      </w:tr>
      <w:tr w:rsidR="003E21B5" w:rsidRPr="00622AD9" w14:paraId="68E68B6C" w14:textId="77777777" w:rsidTr="00622AD9">
        <w:tc>
          <w:tcPr>
            <w:tcW w:w="450" w:type="dxa"/>
          </w:tcPr>
          <w:p w14:paraId="612F0059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500" w:type="dxa"/>
          </w:tcPr>
          <w:p w14:paraId="632D4872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Strategy</w:t>
            </w:r>
          </w:p>
        </w:tc>
        <w:tc>
          <w:tcPr>
            <w:tcW w:w="1400" w:type="dxa"/>
          </w:tcPr>
          <w:p w14:paraId="5B412FC1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Comportamiento</w:t>
            </w:r>
          </w:p>
        </w:tc>
        <w:tc>
          <w:tcPr>
            <w:tcW w:w="3700" w:type="dxa"/>
          </w:tcPr>
          <w:p w14:paraId="6ED1DFFE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Cálculo del puntaje final según el tipo de beca</w:t>
            </w:r>
          </w:p>
        </w:tc>
        <w:tc>
          <w:tcPr>
            <w:tcW w:w="800" w:type="dxa"/>
          </w:tcPr>
          <w:p w14:paraId="048B0E29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Sprint 2</w:t>
            </w:r>
          </w:p>
        </w:tc>
        <w:tc>
          <w:tcPr>
            <w:tcW w:w="1510" w:type="dxa"/>
          </w:tcPr>
          <w:p w14:paraId="65AAEA2C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evaluaciones/strategies.py</w:t>
            </w:r>
          </w:p>
        </w:tc>
      </w:tr>
    </w:tbl>
    <w:p w14:paraId="6F7FAE95" w14:textId="77777777" w:rsidR="003E21B5" w:rsidRPr="00622AD9" w:rsidRDefault="00000000" w:rsidP="00622AD9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622AD9">
        <w:rPr>
          <w:rFonts w:ascii="Arial" w:hAnsi="Arial" w:cs="Arial"/>
          <w:color w:val="auto"/>
          <w:sz w:val="28"/>
          <w:szCs w:val="28"/>
        </w:rPr>
        <w:t>3. Patrones creacionales</w:t>
      </w:r>
    </w:p>
    <w:p w14:paraId="1059901B" w14:textId="77777777" w:rsidR="003E21B5" w:rsidRPr="00622AD9" w:rsidRDefault="00000000" w:rsidP="00622AD9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622AD9">
        <w:rPr>
          <w:rFonts w:ascii="Arial" w:hAnsi="Arial" w:cs="Arial"/>
          <w:color w:val="auto"/>
          <w:sz w:val="24"/>
          <w:szCs w:val="24"/>
        </w:rPr>
        <w:t>3.1 Factory Method</w:t>
      </w:r>
    </w:p>
    <w:tbl>
      <w:tblPr>
        <w:tblStyle w:val="Tablaconcuadrcula"/>
        <w:tblW w:w="9360" w:type="dxa"/>
        <w:tblLook w:val="0000" w:firstRow="0" w:lastRow="0" w:firstColumn="0" w:lastColumn="0" w:noHBand="0" w:noVBand="0"/>
      </w:tblPr>
      <w:tblGrid>
        <w:gridCol w:w="2700"/>
        <w:gridCol w:w="6660"/>
      </w:tblGrid>
      <w:tr w:rsidR="003E21B5" w:rsidRPr="00622AD9" w14:paraId="1A0276E0" w14:textId="77777777" w:rsidTr="00622AD9">
        <w:tc>
          <w:tcPr>
            <w:tcW w:w="2700" w:type="dxa"/>
          </w:tcPr>
          <w:p w14:paraId="56FA0697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6660" w:type="dxa"/>
          </w:tcPr>
          <w:p w14:paraId="50DBC431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Creacional</w:t>
            </w:r>
          </w:p>
        </w:tc>
      </w:tr>
      <w:tr w:rsidR="003E21B5" w:rsidRPr="00622AD9" w14:paraId="245D6684" w14:textId="77777777" w:rsidTr="00622AD9">
        <w:tc>
          <w:tcPr>
            <w:tcW w:w="2700" w:type="dxa"/>
          </w:tcPr>
          <w:p w14:paraId="6B973881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Dónde se aplica</w:t>
            </w:r>
          </w:p>
        </w:tc>
        <w:tc>
          <w:tcPr>
            <w:tcW w:w="6660" w:type="dxa"/>
          </w:tcPr>
          <w:p w14:paraId="235F917E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Selección de la estrategia de cálculo del puntaje final según el tipo de beca de la convocatoria (HU12).</w:t>
            </w:r>
          </w:p>
        </w:tc>
      </w:tr>
      <w:tr w:rsidR="003E21B5" w:rsidRPr="00622AD9" w14:paraId="3EC928FD" w14:textId="77777777" w:rsidTr="00622AD9">
        <w:tc>
          <w:tcPr>
            <w:tcW w:w="2700" w:type="dxa"/>
          </w:tcPr>
          <w:p w14:paraId="2E32A454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¿Qué problema resuelve?</w:t>
            </w:r>
          </w:p>
        </w:tc>
        <w:tc>
          <w:tcPr>
            <w:tcW w:w="6660" w:type="dxa"/>
          </w:tcPr>
          <w:p w14:paraId="67D70434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Decidir qué estrategia de cálculo usar depende del tipo de beca. Ese condicional de creación no debe repetirse en cada lugar del código que necesite una estrategia.</w:t>
            </w:r>
          </w:p>
        </w:tc>
      </w:tr>
      <w:tr w:rsidR="003E21B5" w:rsidRPr="00622AD9" w14:paraId="5479E4D3" w14:textId="77777777" w:rsidTr="00622AD9">
        <w:tc>
          <w:tcPr>
            <w:tcW w:w="2700" w:type="dxa"/>
          </w:tcPr>
          <w:p w14:paraId="4636538B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¿Qué otras alternativas existían?</w:t>
            </w:r>
          </w:p>
        </w:tc>
        <w:tc>
          <w:tcPr>
            <w:tcW w:w="6660" w:type="dxa"/>
          </w:tcPr>
          <w:p w14:paraId="2D2FC8F9" w14:textId="77777777" w:rsidR="003E21B5" w:rsidRPr="00622AD9" w:rsidRDefault="00000000" w:rsidP="00622AD9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Instanciar la estrategia directamente donde se necesite (por ejemplo, en la vista): duplica la regla tipo de beca → estrategia y dificulta agregar nuevos tipos.</w:t>
            </w:r>
          </w:p>
          <w:p w14:paraId="1D3DCB41" w14:textId="77777777" w:rsidR="003E21B5" w:rsidRPr="00622AD9" w:rsidRDefault="00000000" w:rsidP="00622AD9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Condicionales if/else dentro del servicio de evaluaciones.</w:t>
            </w:r>
          </w:p>
          <w:p w14:paraId="66AB4B70" w14:textId="77777777" w:rsidR="003E21B5" w:rsidRPr="00622AD9" w:rsidRDefault="00000000" w:rsidP="00622AD9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Abstract Factory: excesivo para una sola familia de dos estrategias.</w:t>
            </w:r>
          </w:p>
        </w:tc>
      </w:tr>
      <w:tr w:rsidR="003E21B5" w:rsidRPr="00622AD9" w14:paraId="7C22E428" w14:textId="77777777" w:rsidTr="00622AD9">
        <w:tc>
          <w:tcPr>
            <w:tcW w:w="2700" w:type="dxa"/>
          </w:tcPr>
          <w:p w14:paraId="634C4406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¿Por qué se seleccionó este patrón?</w:t>
            </w:r>
          </w:p>
        </w:tc>
        <w:tc>
          <w:tcPr>
            <w:tcW w:w="6660" w:type="dxa"/>
          </w:tcPr>
          <w:p w14:paraId="7FDA7E0E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Centraliza en un único punto la creación del objeto Strategy correcto y separa «cómo se crea» de «cómo se usa».</w:t>
            </w:r>
          </w:p>
        </w:tc>
      </w:tr>
      <w:tr w:rsidR="003E21B5" w:rsidRPr="00622AD9" w14:paraId="592E51A2" w14:textId="77777777" w:rsidTr="00622AD9">
        <w:tc>
          <w:tcPr>
            <w:tcW w:w="2700" w:type="dxa"/>
          </w:tcPr>
          <w:p w14:paraId="6197C326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¿Qué ventajas aporta al proyecto?</w:t>
            </w:r>
          </w:p>
        </w:tc>
        <w:tc>
          <w:tcPr>
            <w:tcW w:w="6660" w:type="dxa"/>
          </w:tcPr>
          <w:p w14:paraId="162662F2" w14:textId="77777777" w:rsidR="003E21B5" w:rsidRPr="00622AD9" w:rsidRDefault="00000000" w:rsidP="00622AD9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Agregar un tipo de beca con su propia forma de evaluar es un cambio de una línea en la fábrica.</w:t>
            </w:r>
          </w:p>
          <w:p w14:paraId="59AEA518" w14:textId="77777777" w:rsidR="003E21B5" w:rsidRPr="00622AD9" w:rsidRDefault="00000000" w:rsidP="00622AD9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Menor acoplamiento entre las vistas y las estrategias concretas.</w:t>
            </w:r>
          </w:p>
          <w:p w14:paraId="1C0078FD" w14:textId="77777777" w:rsidR="003E21B5" w:rsidRPr="00622AD9" w:rsidRDefault="00000000" w:rsidP="00622AD9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La regla de correspondencia tipo → estrategia queda en un solo lugar.</w:t>
            </w:r>
          </w:p>
        </w:tc>
      </w:tr>
      <w:tr w:rsidR="003E21B5" w:rsidRPr="00622AD9" w14:paraId="03CCA369" w14:textId="77777777" w:rsidTr="00622AD9">
        <w:tc>
          <w:tcPr>
            <w:tcW w:w="2700" w:type="dxa"/>
          </w:tcPr>
          <w:p w14:paraId="60FE97E1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Evidencia en el código</w:t>
            </w:r>
          </w:p>
        </w:tc>
        <w:tc>
          <w:tcPr>
            <w:tcW w:w="6660" w:type="dxa"/>
          </w:tcPr>
          <w:p w14:paraId="22157F63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Archivo y clase: apps/evaluaciones/factories.py — EstrategiaEvaluacionFactory (método crear).</w:t>
            </w:r>
          </w:p>
          <w:p w14:paraId="2DC4BAFA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Uso: apps/evaluaciones/views.py, al calcular el puntaje final.</w:t>
            </w:r>
          </w:p>
          <w:p w14:paraId="6F45E3A1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Prueba: test_calcula_puntaje_final (apps/evaluaciones/tests.py).</w:t>
            </w:r>
          </w:p>
          <w:p w14:paraId="673A9D62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Integrado en el Sprint 2 (15/09/2026 al 09/10/2026).</w:t>
            </w:r>
          </w:p>
          <w:p w14:paraId="4EB4A938" w14:textId="0F965FDA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Pull Request:</w:t>
            </w:r>
            <w:r w:rsidR="00622AD9" w:rsidRPr="00622AD9">
              <w:rPr>
                <w:rFonts w:ascii="Arial" w:hAnsi="Arial" w:cs="Arial"/>
                <w:sz w:val="20"/>
                <w:szCs w:val="20"/>
              </w:rPr>
              <w:t xml:space="preserve"> C</w:t>
            </w:r>
            <w:r w:rsidRPr="00622AD9">
              <w:rPr>
                <w:rFonts w:ascii="Arial" w:hAnsi="Arial" w:cs="Arial"/>
                <w:sz w:val="20"/>
                <w:szCs w:val="20"/>
              </w:rPr>
              <w:t>omplet</w:t>
            </w:r>
            <w:r w:rsidR="00622AD9" w:rsidRPr="00622AD9">
              <w:rPr>
                <w:rFonts w:ascii="Arial" w:hAnsi="Arial" w:cs="Arial"/>
                <w:sz w:val="20"/>
                <w:szCs w:val="20"/>
              </w:rPr>
              <w:t>ado</w:t>
            </w:r>
            <w:r w:rsidRPr="00622AD9">
              <w:rPr>
                <w:rFonts w:ascii="Arial" w:hAnsi="Arial" w:cs="Arial"/>
                <w:sz w:val="20"/>
                <w:szCs w:val="20"/>
              </w:rPr>
              <w:t xml:space="preserve"> según el historial de Git</w:t>
            </w:r>
          </w:p>
        </w:tc>
      </w:tr>
    </w:tbl>
    <w:p w14:paraId="5CA5B35B" w14:textId="77777777" w:rsidR="003E21B5" w:rsidRPr="00622AD9" w:rsidRDefault="003E21B5" w:rsidP="00622AD9">
      <w:pPr>
        <w:spacing w:after="120" w:line="360" w:lineRule="auto"/>
        <w:rPr>
          <w:rFonts w:ascii="Arial" w:hAnsi="Arial" w:cs="Arial"/>
        </w:rPr>
      </w:pPr>
    </w:p>
    <w:p w14:paraId="5BDE9D72" w14:textId="77777777" w:rsidR="003E21B5" w:rsidRPr="00622AD9" w:rsidRDefault="00000000" w:rsidP="00622AD9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622AD9">
        <w:rPr>
          <w:rFonts w:ascii="Arial" w:hAnsi="Arial" w:cs="Arial"/>
          <w:color w:val="auto"/>
          <w:sz w:val="24"/>
          <w:szCs w:val="24"/>
        </w:rPr>
        <w:t>3.2 Builder</w:t>
      </w:r>
    </w:p>
    <w:tbl>
      <w:tblPr>
        <w:tblStyle w:val="Tablaconcuadrcula"/>
        <w:tblW w:w="9360" w:type="dxa"/>
        <w:tblLook w:val="0000" w:firstRow="0" w:lastRow="0" w:firstColumn="0" w:lastColumn="0" w:noHBand="0" w:noVBand="0"/>
      </w:tblPr>
      <w:tblGrid>
        <w:gridCol w:w="2700"/>
        <w:gridCol w:w="6660"/>
      </w:tblGrid>
      <w:tr w:rsidR="003E21B5" w:rsidRPr="00622AD9" w14:paraId="5BCA543C" w14:textId="77777777" w:rsidTr="002177A7">
        <w:tc>
          <w:tcPr>
            <w:tcW w:w="2700" w:type="dxa"/>
          </w:tcPr>
          <w:p w14:paraId="064B1421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6660" w:type="dxa"/>
          </w:tcPr>
          <w:p w14:paraId="094FF72E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Creacional</w:t>
            </w:r>
          </w:p>
        </w:tc>
      </w:tr>
      <w:tr w:rsidR="003E21B5" w:rsidRPr="00622AD9" w14:paraId="30DABE74" w14:textId="77777777" w:rsidTr="002177A7">
        <w:tc>
          <w:tcPr>
            <w:tcW w:w="2700" w:type="dxa"/>
          </w:tcPr>
          <w:p w14:paraId="7C0E684C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Dónde se aplica</w:t>
            </w:r>
          </w:p>
        </w:tc>
        <w:tc>
          <w:tcPr>
            <w:tcW w:w="6660" w:type="dxa"/>
          </w:tcPr>
          <w:p w14:paraId="4FC41808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Armado de una solicitud completa junto con sus documentos de respaldo, paso a paso (HU07 y HU08).</w:t>
            </w:r>
          </w:p>
        </w:tc>
      </w:tr>
      <w:tr w:rsidR="003E21B5" w:rsidRPr="00622AD9" w14:paraId="3C8AFA4C" w14:textId="77777777" w:rsidTr="002177A7">
        <w:tc>
          <w:tcPr>
            <w:tcW w:w="2700" w:type="dxa"/>
          </w:tcPr>
          <w:p w14:paraId="52C92FEC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¿Qué problema resuelve?</w:t>
            </w:r>
          </w:p>
        </w:tc>
        <w:tc>
          <w:tcPr>
            <w:tcW w:w="6660" w:type="dxa"/>
          </w:tcPr>
          <w:p w14:paraId="0B404B07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Una solicitud completa no es solo el registro en la tabla: se arma con uno o más documentos que pueden llegar en pasos distintos. Un constructor con muchos parámetros opcionales sería confuso y frágil.</w:t>
            </w:r>
          </w:p>
        </w:tc>
      </w:tr>
      <w:tr w:rsidR="003E21B5" w:rsidRPr="00622AD9" w14:paraId="33F48489" w14:textId="77777777" w:rsidTr="002177A7">
        <w:tc>
          <w:tcPr>
            <w:tcW w:w="2700" w:type="dxa"/>
          </w:tcPr>
          <w:p w14:paraId="3AB11CA3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¿Qué otras alternativas existían?</w:t>
            </w:r>
          </w:p>
        </w:tc>
        <w:tc>
          <w:tcPr>
            <w:tcW w:w="6660" w:type="dxa"/>
          </w:tcPr>
          <w:p w14:paraId="37A469B0" w14:textId="77777777" w:rsidR="003E21B5" w:rsidRPr="00622AD9" w:rsidRDefault="00000000" w:rsidP="00622AD9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Un método crear_solicitud(estudiante, convocatoria, doc1=None, doc2=None, …) con muchos parámetros opcionales: difícil de leer y de extender.</w:t>
            </w:r>
          </w:p>
          <w:p w14:paraId="397761ED" w14:textId="77777777" w:rsidR="003E21B5" w:rsidRPr="00622AD9" w:rsidRDefault="00000000" w:rsidP="00622AD9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Crear la solicitud y cada documento por separado desde la vista, lo que acopla la vista a los detalles de creación.</w:t>
            </w:r>
          </w:p>
        </w:tc>
      </w:tr>
      <w:tr w:rsidR="003E21B5" w:rsidRPr="00622AD9" w14:paraId="0CAE15AA" w14:textId="77777777" w:rsidTr="002177A7">
        <w:tc>
          <w:tcPr>
            <w:tcW w:w="2700" w:type="dxa"/>
          </w:tcPr>
          <w:p w14:paraId="468D4187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¿Por qué se seleccionó este patrón?</w:t>
            </w:r>
          </w:p>
        </w:tc>
        <w:tc>
          <w:tcPr>
            <w:tcW w:w="6660" w:type="dxa"/>
          </w:tcPr>
          <w:p w14:paraId="3417B601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Permite construir la solicitud agregando documento por documento y confirmar la creación al final, validando que existan los datos mínimos antes de guardar.</w:t>
            </w:r>
          </w:p>
        </w:tc>
      </w:tr>
      <w:tr w:rsidR="003E21B5" w:rsidRPr="00622AD9" w14:paraId="768A4FE2" w14:textId="77777777" w:rsidTr="002177A7">
        <w:tc>
          <w:tcPr>
            <w:tcW w:w="2700" w:type="dxa"/>
          </w:tcPr>
          <w:p w14:paraId="0D81D14F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¿Qué ventajas aporta al proyecto?</w:t>
            </w:r>
          </w:p>
        </w:tc>
        <w:tc>
          <w:tcPr>
            <w:tcW w:w="6660" w:type="dxa"/>
          </w:tcPr>
          <w:p w14:paraId="4847802B" w14:textId="77777777" w:rsidR="003E21B5" w:rsidRPr="00622AD9" w:rsidRDefault="00000000" w:rsidP="00622AD9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El flujo de llenar la solicitud en varios pasos se modela de forma natural.</w:t>
            </w:r>
          </w:p>
          <w:p w14:paraId="7A0CBB7F" w14:textId="77777777" w:rsidR="003E21B5" w:rsidRPr="00622AD9" w:rsidRDefault="00000000" w:rsidP="00622AD9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La vista no depende de los detalles de creación de Documento y Solicitud.</w:t>
            </w:r>
          </w:p>
          <w:p w14:paraId="5581FB16" w14:textId="77777777" w:rsidR="003E21B5" w:rsidRPr="00622AD9" w:rsidRDefault="00000000" w:rsidP="00622AD9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Exige al menos un documento antes de crear la solicitud (método construir).</w:t>
            </w:r>
          </w:p>
        </w:tc>
      </w:tr>
      <w:tr w:rsidR="003E21B5" w:rsidRPr="00622AD9" w14:paraId="70EC48F3" w14:textId="77777777" w:rsidTr="002177A7">
        <w:tc>
          <w:tcPr>
            <w:tcW w:w="2700" w:type="dxa"/>
          </w:tcPr>
          <w:p w14:paraId="33278996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Evidencia en el código</w:t>
            </w:r>
          </w:p>
        </w:tc>
        <w:tc>
          <w:tcPr>
            <w:tcW w:w="6660" w:type="dxa"/>
          </w:tcPr>
          <w:p w14:paraId="0ED61C55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Archivo y clase: apps/solicitudes/builders.py — SolicitudBuilder (métodos con_documento y construir, apoyados en SolicitudService).</w:t>
            </w:r>
          </w:p>
          <w:p w14:paraId="47099E61" w14:textId="4619AF1B" w:rsidR="003E21B5" w:rsidRPr="002177A7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2177A7">
              <w:rPr>
                <w:rFonts w:ascii="Arial" w:hAnsi="Arial" w:cs="Arial"/>
                <w:sz w:val="20"/>
                <w:szCs w:val="20"/>
              </w:rPr>
              <w:t>Uso en las vistas: confirma</w:t>
            </w:r>
            <w:r w:rsidR="002177A7" w:rsidRPr="002177A7">
              <w:rPr>
                <w:rFonts w:ascii="Arial" w:hAnsi="Arial" w:cs="Arial"/>
                <w:sz w:val="20"/>
                <w:szCs w:val="20"/>
              </w:rPr>
              <w:t xml:space="preserve">ción </w:t>
            </w:r>
            <w:r w:rsidRPr="002177A7">
              <w:rPr>
                <w:rFonts w:ascii="Arial" w:hAnsi="Arial" w:cs="Arial"/>
                <w:sz w:val="20"/>
                <w:szCs w:val="20"/>
              </w:rPr>
              <w:t>en la versión final que la postulación del estudiante invoque el builder</w:t>
            </w:r>
          </w:p>
          <w:p w14:paraId="570DBD3D" w14:textId="00F548E4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2177A7">
              <w:rPr>
                <w:rFonts w:ascii="Arial" w:hAnsi="Arial" w:cs="Arial"/>
                <w:sz w:val="20"/>
                <w:szCs w:val="20"/>
              </w:rPr>
              <w:t>Prueba: agregar una prueba unitaria del builder</w:t>
            </w:r>
          </w:p>
          <w:p w14:paraId="4521AA5F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Integrado en el Sprint 2 (15/09/2026 al 09/10/2026).</w:t>
            </w:r>
          </w:p>
          <w:p w14:paraId="3791D6DA" w14:textId="1F979C42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2177A7">
              <w:rPr>
                <w:rFonts w:ascii="Arial" w:hAnsi="Arial" w:cs="Arial"/>
                <w:sz w:val="20"/>
                <w:szCs w:val="20"/>
              </w:rPr>
              <w:t>Pull Request: completa</w:t>
            </w:r>
            <w:r w:rsidR="002177A7" w:rsidRPr="002177A7">
              <w:rPr>
                <w:rFonts w:ascii="Arial" w:hAnsi="Arial" w:cs="Arial"/>
                <w:sz w:val="20"/>
                <w:szCs w:val="20"/>
              </w:rPr>
              <w:t>do</w:t>
            </w:r>
            <w:r w:rsidRPr="002177A7">
              <w:rPr>
                <w:rFonts w:ascii="Arial" w:hAnsi="Arial" w:cs="Arial"/>
                <w:sz w:val="20"/>
                <w:szCs w:val="20"/>
              </w:rPr>
              <w:t xml:space="preserve"> según el historial de Git</w:t>
            </w:r>
          </w:p>
        </w:tc>
      </w:tr>
    </w:tbl>
    <w:p w14:paraId="33B797BA" w14:textId="77777777" w:rsidR="003E21B5" w:rsidRPr="00622AD9" w:rsidRDefault="003E21B5" w:rsidP="00622AD9">
      <w:pPr>
        <w:spacing w:after="120" w:line="360" w:lineRule="auto"/>
        <w:rPr>
          <w:rFonts w:ascii="Arial" w:hAnsi="Arial" w:cs="Arial"/>
        </w:rPr>
      </w:pPr>
    </w:p>
    <w:p w14:paraId="25448161" w14:textId="77777777" w:rsidR="003E21B5" w:rsidRPr="002177A7" w:rsidRDefault="00000000" w:rsidP="002177A7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2177A7">
        <w:rPr>
          <w:rFonts w:ascii="Arial" w:hAnsi="Arial" w:cs="Arial"/>
          <w:color w:val="auto"/>
          <w:sz w:val="28"/>
          <w:szCs w:val="28"/>
        </w:rPr>
        <w:t>4. Patrones estructurales</w:t>
      </w:r>
    </w:p>
    <w:p w14:paraId="502432AA" w14:textId="77777777" w:rsidR="003E21B5" w:rsidRPr="002177A7" w:rsidRDefault="00000000" w:rsidP="002177A7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2177A7">
        <w:rPr>
          <w:rFonts w:ascii="Arial" w:hAnsi="Arial" w:cs="Arial"/>
          <w:color w:val="auto"/>
          <w:sz w:val="24"/>
          <w:szCs w:val="24"/>
        </w:rPr>
        <w:t>4.1 Adapter</w:t>
      </w:r>
    </w:p>
    <w:tbl>
      <w:tblPr>
        <w:tblStyle w:val="Tablaconcuadrcula"/>
        <w:tblW w:w="9360" w:type="dxa"/>
        <w:tblLook w:val="0000" w:firstRow="0" w:lastRow="0" w:firstColumn="0" w:lastColumn="0" w:noHBand="0" w:noVBand="0"/>
      </w:tblPr>
      <w:tblGrid>
        <w:gridCol w:w="2700"/>
        <w:gridCol w:w="6660"/>
      </w:tblGrid>
      <w:tr w:rsidR="003E21B5" w:rsidRPr="00622AD9" w14:paraId="2B1207B2" w14:textId="77777777" w:rsidTr="002177A7">
        <w:tc>
          <w:tcPr>
            <w:tcW w:w="2700" w:type="dxa"/>
          </w:tcPr>
          <w:p w14:paraId="17B88817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6660" w:type="dxa"/>
          </w:tcPr>
          <w:p w14:paraId="1D499627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Estructural</w:t>
            </w:r>
          </w:p>
        </w:tc>
      </w:tr>
      <w:tr w:rsidR="003E21B5" w:rsidRPr="00622AD9" w14:paraId="1E4F2EA1" w14:textId="77777777" w:rsidTr="002177A7">
        <w:tc>
          <w:tcPr>
            <w:tcW w:w="2700" w:type="dxa"/>
          </w:tcPr>
          <w:p w14:paraId="6DBE13F9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Dónde se aplica</w:t>
            </w:r>
          </w:p>
        </w:tc>
        <w:tc>
          <w:tcPr>
            <w:tcW w:w="6660" w:type="dxa"/>
          </w:tcPr>
          <w:p w14:paraId="30112F45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Validación de identidad (DPI/CUI) del estudiante frente a una institución externa, hoy mediante un validador simulado. El mismo criterio de aislamiento se aplica al servicio de IA (Gemini).</w:t>
            </w:r>
          </w:p>
        </w:tc>
      </w:tr>
      <w:tr w:rsidR="003E21B5" w:rsidRPr="00622AD9" w14:paraId="0A55D58D" w14:textId="77777777" w:rsidTr="002177A7">
        <w:tc>
          <w:tcPr>
            <w:tcW w:w="2700" w:type="dxa"/>
          </w:tcPr>
          <w:p w14:paraId="5EBC91AE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¿Qué problema resuelve?</w:t>
            </w:r>
          </w:p>
        </w:tc>
        <w:tc>
          <w:tcPr>
            <w:tcW w:w="6660" w:type="dxa"/>
          </w:tcPr>
          <w:p w14:paraId="032DAD16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El enunciado anticipa integraciones con otras instituciones (por ejemplo, validar el DPI contra RENAP o verificar notas en un sistema académico). Hoy no se conoce el formato de esas API.</w:t>
            </w:r>
          </w:p>
        </w:tc>
      </w:tr>
      <w:tr w:rsidR="003E21B5" w:rsidRPr="00622AD9" w14:paraId="53AA0C7E" w14:textId="77777777" w:rsidTr="002177A7">
        <w:tc>
          <w:tcPr>
            <w:tcW w:w="2700" w:type="dxa"/>
          </w:tcPr>
          <w:p w14:paraId="19EE2A50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¿Qué otras alternativas existían?</w:t>
            </w:r>
          </w:p>
        </w:tc>
        <w:tc>
          <w:tcPr>
            <w:tcW w:w="6660" w:type="dxa"/>
          </w:tcPr>
          <w:p w14:paraId="60DA1059" w14:textId="77777777" w:rsidR="003E21B5" w:rsidRPr="00622AD9" w:rsidRDefault="00000000" w:rsidP="00622AD9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Esperar a que exista la integración real para diseñar algo: obligaría a modificar el núcleo (SolicitudService) y arriesgaría lo ya probado.</w:t>
            </w:r>
          </w:p>
          <w:p w14:paraId="28B21A5C" w14:textId="77777777" w:rsidR="003E21B5" w:rsidRPr="00622AD9" w:rsidRDefault="00000000" w:rsidP="00622AD9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Llamar a la API externa directamente desde las vistas o los servicios.</w:t>
            </w:r>
          </w:p>
        </w:tc>
      </w:tr>
      <w:tr w:rsidR="003E21B5" w:rsidRPr="00622AD9" w14:paraId="01745630" w14:textId="77777777" w:rsidTr="002177A7">
        <w:tc>
          <w:tcPr>
            <w:tcW w:w="2700" w:type="dxa"/>
          </w:tcPr>
          <w:p w14:paraId="3DAE2C25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¿Por qué se seleccionó este patrón?</w:t>
            </w:r>
          </w:p>
        </w:tc>
        <w:tc>
          <w:tcPr>
            <w:tcW w:w="6660" w:type="dxa"/>
          </w:tcPr>
          <w:p w14:paraId="5DE05045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Se define una interfaz propia y estable (ValidadorIdentidadPort); cuando exista la API real, solo se escribe un adaptador que traduzca esa API a la interfaz esperada.</w:t>
            </w:r>
          </w:p>
        </w:tc>
      </w:tr>
      <w:tr w:rsidR="003E21B5" w:rsidRPr="00622AD9" w14:paraId="54DDEE7C" w14:textId="77777777" w:rsidTr="002177A7">
        <w:tc>
          <w:tcPr>
            <w:tcW w:w="2700" w:type="dxa"/>
          </w:tcPr>
          <w:p w14:paraId="671B3139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¿Qué ventajas aporta al proyecto?</w:t>
            </w:r>
          </w:p>
        </w:tc>
        <w:tc>
          <w:tcPr>
            <w:tcW w:w="6660" w:type="dxa"/>
          </w:tcPr>
          <w:p w14:paraId="193C43FB" w14:textId="77777777" w:rsidR="003E21B5" w:rsidRPr="00622AD9" w:rsidRDefault="00000000" w:rsidP="00622AD9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El sistema queda listo para integraciones futuras sin sobre-diseñar algo que todavía no existe.</w:t>
            </w:r>
          </w:p>
          <w:p w14:paraId="3808C52F" w14:textId="77777777" w:rsidR="003E21B5" w:rsidRPr="00622AD9" w:rsidRDefault="00000000" w:rsidP="00622AD9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lastRenderedPageBreak/>
              <w:t>El núcleo no cambia al incorporar una institución externa.</w:t>
            </w:r>
          </w:p>
          <w:p w14:paraId="43815D1D" w14:textId="77777777" w:rsidR="003E21B5" w:rsidRPr="00622AD9" w:rsidRDefault="00000000" w:rsidP="00622AD9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El validador simulado permite probar sin depender de un servicio real.</w:t>
            </w:r>
          </w:p>
        </w:tc>
      </w:tr>
      <w:tr w:rsidR="003E21B5" w:rsidRPr="00622AD9" w14:paraId="72303D81" w14:textId="77777777" w:rsidTr="002177A7">
        <w:tc>
          <w:tcPr>
            <w:tcW w:w="2700" w:type="dxa"/>
          </w:tcPr>
          <w:p w14:paraId="6112F9CA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Evidencia en el código</w:t>
            </w:r>
          </w:p>
        </w:tc>
        <w:tc>
          <w:tcPr>
            <w:tcW w:w="6660" w:type="dxa"/>
          </w:tcPr>
          <w:p w14:paraId="3005A60E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Archivo y clases: apps/solicitudes/adapters.py — ValidadorIdentidadPort (interfaz) y ValidadorIdentidadSimulado.</w:t>
            </w:r>
          </w:p>
          <w:p w14:paraId="0A0338FA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Integrado en el Sprint 3 (13/10/2026 al 23/10/2026).</w:t>
            </w:r>
          </w:p>
          <w:p w14:paraId="38AD7A0E" w14:textId="45DF8A6F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2177A7">
              <w:rPr>
                <w:rFonts w:ascii="Arial" w:hAnsi="Arial" w:cs="Arial"/>
                <w:sz w:val="20"/>
                <w:szCs w:val="20"/>
              </w:rPr>
              <w:t>Pull Request: completa</w:t>
            </w:r>
            <w:r w:rsidR="002177A7" w:rsidRPr="002177A7">
              <w:rPr>
                <w:rFonts w:ascii="Arial" w:hAnsi="Arial" w:cs="Arial"/>
                <w:sz w:val="20"/>
                <w:szCs w:val="20"/>
              </w:rPr>
              <w:t>do</w:t>
            </w:r>
            <w:r w:rsidRPr="002177A7">
              <w:rPr>
                <w:rFonts w:ascii="Arial" w:hAnsi="Arial" w:cs="Arial"/>
                <w:sz w:val="20"/>
                <w:szCs w:val="20"/>
              </w:rPr>
              <w:t xml:space="preserve"> según el historial de Git</w:t>
            </w:r>
          </w:p>
        </w:tc>
      </w:tr>
    </w:tbl>
    <w:p w14:paraId="3FB47693" w14:textId="77777777" w:rsidR="003E21B5" w:rsidRPr="00622AD9" w:rsidRDefault="003E21B5" w:rsidP="00622AD9">
      <w:pPr>
        <w:spacing w:after="120" w:line="360" w:lineRule="auto"/>
        <w:rPr>
          <w:rFonts w:ascii="Arial" w:hAnsi="Arial" w:cs="Arial"/>
        </w:rPr>
      </w:pPr>
    </w:p>
    <w:p w14:paraId="0935B0DC" w14:textId="77777777" w:rsidR="003E21B5" w:rsidRPr="002177A7" w:rsidRDefault="00000000" w:rsidP="00622AD9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2177A7">
        <w:rPr>
          <w:rFonts w:ascii="Arial" w:hAnsi="Arial" w:cs="Arial"/>
          <w:color w:val="auto"/>
          <w:sz w:val="24"/>
          <w:szCs w:val="24"/>
        </w:rPr>
        <w:t>4.2 Facade</w:t>
      </w:r>
    </w:p>
    <w:tbl>
      <w:tblPr>
        <w:tblStyle w:val="Tablaconcuadrcula"/>
        <w:tblW w:w="9360" w:type="dxa"/>
        <w:tblLook w:val="0000" w:firstRow="0" w:lastRow="0" w:firstColumn="0" w:lastColumn="0" w:noHBand="0" w:noVBand="0"/>
      </w:tblPr>
      <w:tblGrid>
        <w:gridCol w:w="2700"/>
        <w:gridCol w:w="6660"/>
      </w:tblGrid>
      <w:tr w:rsidR="003E21B5" w:rsidRPr="00622AD9" w14:paraId="108040F5" w14:textId="77777777" w:rsidTr="002177A7">
        <w:tc>
          <w:tcPr>
            <w:tcW w:w="2700" w:type="dxa"/>
          </w:tcPr>
          <w:p w14:paraId="6BCE9806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6660" w:type="dxa"/>
          </w:tcPr>
          <w:p w14:paraId="6FAB0F8B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Estructural</w:t>
            </w:r>
          </w:p>
        </w:tc>
      </w:tr>
      <w:tr w:rsidR="003E21B5" w:rsidRPr="00622AD9" w14:paraId="22ADB1BD" w14:textId="77777777" w:rsidTr="002177A7">
        <w:tc>
          <w:tcPr>
            <w:tcW w:w="2700" w:type="dxa"/>
          </w:tcPr>
          <w:p w14:paraId="2348BB6A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Dónde se aplica</w:t>
            </w:r>
          </w:p>
        </w:tc>
        <w:tc>
          <w:tcPr>
            <w:tcW w:w="6660" w:type="dxa"/>
          </w:tcPr>
          <w:p w14:paraId="384AA521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Capa de servicios de solicitudes: SolicitudService ofrece una interfaz simple a las vistas y orquesta las validaciones (convocatoria abierta, duplicados, cupo, estado) y los cambios de estado.</w:t>
            </w:r>
          </w:p>
        </w:tc>
      </w:tr>
      <w:tr w:rsidR="003E21B5" w:rsidRPr="00622AD9" w14:paraId="69B52DCE" w14:textId="77777777" w:rsidTr="002177A7">
        <w:tc>
          <w:tcPr>
            <w:tcW w:w="2700" w:type="dxa"/>
          </w:tcPr>
          <w:p w14:paraId="7C8875D3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¿Qué problema resuelve?</w:t>
            </w:r>
          </w:p>
        </w:tc>
        <w:tc>
          <w:tcPr>
            <w:tcW w:w="6660" w:type="dxa"/>
          </w:tcPr>
          <w:p w14:paraId="1A1D1B83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Evita que las vistas conozcan y coordinen varios subsistemas (modelos, validaciones, historial) para completar una sola operación de negocio.</w:t>
            </w:r>
          </w:p>
        </w:tc>
      </w:tr>
      <w:tr w:rsidR="003E21B5" w:rsidRPr="00622AD9" w14:paraId="5906CE94" w14:textId="77777777" w:rsidTr="002177A7">
        <w:tc>
          <w:tcPr>
            <w:tcW w:w="2700" w:type="dxa"/>
          </w:tcPr>
          <w:p w14:paraId="66AB2109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¿Qué otras alternativas existían?</w:t>
            </w:r>
          </w:p>
        </w:tc>
        <w:tc>
          <w:tcPr>
            <w:tcW w:w="6660" w:type="dxa"/>
          </w:tcPr>
          <w:p w14:paraId="4E1F3102" w14:textId="77777777" w:rsidR="003E21B5" w:rsidRPr="00622AD9" w:rsidRDefault="00000000" w:rsidP="00622AD9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Lógica de negocio directamente en las vistas.</w:t>
            </w:r>
          </w:p>
          <w:p w14:paraId="1DA7F24B" w14:textId="77777777" w:rsidR="003E21B5" w:rsidRPr="00622AD9" w:rsidRDefault="00000000" w:rsidP="00622AD9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Lógica dentro de los modelos («fat models»).</w:t>
            </w:r>
          </w:p>
          <w:p w14:paraId="4F06F58C" w14:textId="77777777" w:rsidR="003E21B5" w:rsidRPr="00622AD9" w:rsidRDefault="00000000" w:rsidP="00622AD9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Que el cliente llame a cada subsistema por separado.</w:t>
            </w:r>
          </w:p>
        </w:tc>
      </w:tr>
      <w:tr w:rsidR="003E21B5" w:rsidRPr="00622AD9" w14:paraId="377A7CFC" w14:textId="77777777" w:rsidTr="002177A7">
        <w:tc>
          <w:tcPr>
            <w:tcW w:w="2700" w:type="dxa"/>
          </w:tcPr>
          <w:p w14:paraId="752FF1FB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¿Por qué se seleccionó este patrón?</w:t>
            </w:r>
          </w:p>
        </w:tc>
        <w:tc>
          <w:tcPr>
            <w:tcW w:w="6660" w:type="dxa"/>
          </w:tcPr>
          <w:p w14:paraId="4B6331CE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Encaja con la arquitectura en capas elegida: ofrece una interfaz simple y estable a la presentación y concentra las reglas que más cambian (cupo, duplicados, estados).</w:t>
            </w:r>
          </w:p>
        </w:tc>
      </w:tr>
      <w:tr w:rsidR="003E21B5" w:rsidRPr="00622AD9" w14:paraId="1C7DBADB" w14:textId="77777777" w:rsidTr="002177A7">
        <w:tc>
          <w:tcPr>
            <w:tcW w:w="2700" w:type="dxa"/>
          </w:tcPr>
          <w:p w14:paraId="71199E85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¿Qué ventajas aporta al proyecto?</w:t>
            </w:r>
          </w:p>
        </w:tc>
        <w:tc>
          <w:tcPr>
            <w:tcW w:w="6660" w:type="dxa"/>
          </w:tcPr>
          <w:p w14:paraId="7EE33F63" w14:textId="77777777" w:rsidR="003E21B5" w:rsidRPr="00622AD9" w:rsidRDefault="00000000" w:rsidP="00622AD9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Vistas delgadas y fáciles de mantener.</w:t>
            </w:r>
          </w:p>
          <w:p w14:paraId="6F03A888" w14:textId="77777777" w:rsidR="003E21B5" w:rsidRPr="00622AD9" w:rsidRDefault="00000000" w:rsidP="00622AD9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Reglas de negocio reutilizables y probables de forma aislada.</w:t>
            </w:r>
          </w:p>
          <w:p w14:paraId="7A655513" w14:textId="77777777" w:rsidR="003E21B5" w:rsidRPr="00622AD9" w:rsidRDefault="00000000" w:rsidP="00622AD9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Menor acoplamiento entre la capa de presentación y el dominio.</w:t>
            </w:r>
          </w:p>
        </w:tc>
      </w:tr>
      <w:tr w:rsidR="003E21B5" w:rsidRPr="00622AD9" w14:paraId="46E04802" w14:textId="77777777" w:rsidTr="002177A7">
        <w:tc>
          <w:tcPr>
            <w:tcW w:w="2700" w:type="dxa"/>
          </w:tcPr>
          <w:p w14:paraId="1E762E44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Evidencia en el código</w:t>
            </w:r>
          </w:p>
        </w:tc>
        <w:tc>
          <w:tcPr>
            <w:tcW w:w="6660" w:type="dxa"/>
          </w:tcPr>
          <w:p w14:paraId="36D99DDA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Archivo y clase: apps/solicitudes/services.py — SolicitudService (crear_solicitud, agregar_documento, iniciar_evaluacion, aprobar, rechazar).</w:t>
            </w:r>
          </w:p>
          <w:p w14:paraId="5589820B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Uso: apps/solicitudes/views.py.</w:t>
            </w:r>
          </w:p>
          <w:p w14:paraId="174ED5A3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Pruebas: test_no_permite_solicitud_duplicada, test_no_permite_solicitud_en_convocatoria_vencida y test_no_permite_aprobar_mas_del_cupo (apps/solicitudes/tests.py).</w:t>
            </w:r>
          </w:p>
          <w:p w14:paraId="4666886F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Integrado en el Sprint 2 (15/09/2026 al 09/10/2026).</w:t>
            </w:r>
          </w:p>
          <w:p w14:paraId="668CE955" w14:textId="5A41BA3C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2177A7">
              <w:rPr>
                <w:rFonts w:ascii="Arial" w:hAnsi="Arial" w:cs="Arial"/>
                <w:sz w:val="20"/>
                <w:szCs w:val="20"/>
              </w:rPr>
              <w:t>Pull Request: completa</w:t>
            </w:r>
            <w:r w:rsidR="002177A7" w:rsidRPr="002177A7">
              <w:rPr>
                <w:rFonts w:ascii="Arial" w:hAnsi="Arial" w:cs="Arial"/>
                <w:sz w:val="20"/>
                <w:szCs w:val="20"/>
              </w:rPr>
              <w:t xml:space="preserve">do </w:t>
            </w:r>
            <w:r w:rsidRPr="002177A7">
              <w:rPr>
                <w:rFonts w:ascii="Arial" w:hAnsi="Arial" w:cs="Arial"/>
                <w:sz w:val="20"/>
                <w:szCs w:val="20"/>
              </w:rPr>
              <w:t>según el historial de Git</w:t>
            </w:r>
          </w:p>
        </w:tc>
      </w:tr>
    </w:tbl>
    <w:p w14:paraId="25373E4F" w14:textId="77777777" w:rsidR="003E21B5" w:rsidRPr="00622AD9" w:rsidRDefault="003E21B5" w:rsidP="00622AD9">
      <w:pPr>
        <w:spacing w:after="120" w:line="360" w:lineRule="auto"/>
        <w:rPr>
          <w:rFonts w:ascii="Arial" w:hAnsi="Arial" w:cs="Arial"/>
        </w:rPr>
      </w:pPr>
    </w:p>
    <w:p w14:paraId="535E1E69" w14:textId="77777777" w:rsidR="003E21B5" w:rsidRPr="002177A7" w:rsidRDefault="00000000" w:rsidP="002177A7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2177A7">
        <w:rPr>
          <w:rFonts w:ascii="Arial" w:hAnsi="Arial" w:cs="Arial"/>
          <w:color w:val="auto"/>
          <w:sz w:val="28"/>
          <w:szCs w:val="28"/>
        </w:rPr>
        <w:lastRenderedPageBreak/>
        <w:t>5. Patrones de comportamiento</w:t>
      </w:r>
    </w:p>
    <w:p w14:paraId="5CC18772" w14:textId="77777777" w:rsidR="003E21B5" w:rsidRPr="002177A7" w:rsidRDefault="00000000" w:rsidP="002177A7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2177A7">
        <w:rPr>
          <w:rFonts w:ascii="Arial" w:hAnsi="Arial" w:cs="Arial"/>
          <w:color w:val="auto"/>
          <w:sz w:val="24"/>
          <w:szCs w:val="24"/>
        </w:rPr>
        <w:t>5.1 State</w:t>
      </w:r>
    </w:p>
    <w:tbl>
      <w:tblPr>
        <w:tblStyle w:val="Tablaconcuadrcula"/>
        <w:tblW w:w="9360" w:type="dxa"/>
        <w:tblLook w:val="0000" w:firstRow="0" w:lastRow="0" w:firstColumn="0" w:lastColumn="0" w:noHBand="0" w:noVBand="0"/>
      </w:tblPr>
      <w:tblGrid>
        <w:gridCol w:w="2700"/>
        <w:gridCol w:w="6660"/>
      </w:tblGrid>
      <w:tr w:rsidR="003E21B5" w:rsidRPr="00622AD9" w14:paraId="4821768C" w14:textId="77777777" w:rsidTr="002177A7">
        <w:tc>
          <w:tcPr>
            <w:tcW w:w="2700" w:type="dxa"/>
          </w:tcPr>
          <w:p w14:paraId="07761070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6660" w:type="dxa"/>
          </w:tcPr>
          <w:p w14:paraId="57613B01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Comportamiento</w:t>
            </w:r>
          </w:p>
        </w:tc>
      </w:tr>
      <w:tr w:rsidR="003E21B5" w:rsidRPr="00622AD9" w14:paraId="38C7BB7D" w14:textId="77777777" w:rsidTr="002177A7">
        <w:tc>
          <w:tcPr>
            <w:tcW w:w="2700" w:type="dxa"/>
          </w:tcPr>
          <w:p w14:paraId="46CDA2E3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Dónde se aplica</w:t>
            </w:r>
          </w:p>
        </w:tc>
        <w:tc>
          <w:tcPr>
            <w:tcW w:w="6660" w:type="dxa"/>
          </w:tcPr>
          <w:p w14:paraId="59EEC9FC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Ciclo de vida de la solicitud: Pendiente → En Evaluación → Aprobada o Rechazada (estados terminales). La regla de doble aprobación para montos mayores a Q10,000 se incorpora sobre este mismo flujo.</w:t>
            </w:r>
          </w:p>
        </w:tc>
      </w:tr>
      <w:tr w:rsidR="003E21B5" w:rsidRPr="00622AD9" w14:paraId="3566B376" w14:textId="77777777" w:rsidTr="002177A7">
        <w:tc>
          <w:tcPr>
            <w:tcW w:w="2700" w:type="dxa"/>
          </w:tcPr>
          <w:p w14:paraId="61707650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¿Qué problema resuelve?</w:t>
            </w:r>
          </w:p>
        </w:tc>
        <w:tc>
          <w:tcPr>
            <w:tcW w:w="6660" w:type="dxa"/>
          </w:tcPr>
          <w:p w14:paraId="3277B4FA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Las reglas de qué transiciones son válidas cambian según el estado actual. Sin el patrón, terminan en un bloque grande de if/elif dentro de vistas o servicios, difícil de mantener y de probar.</w:t>
            </w:r>
          </w:p>
        </w:tc>
      </w:tr>
      <w:tr w:rsidR="003E21B5" w:rsidRPr="00622AD9" w14:paraId="637055C4" w14:textId="77777777" w:rsidTr="002177A7">
        <w:tc>
          <w:tcPr>
            <w:tcW w:w="2700" w:type="dxa"/>
          </w:tcPr>
          <w:p w14:paraId="3FFF8B23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¿Qué otras alternativas existían?</w:t>
            </w:r>
          </w:p>
        </w:tc>
        <w:tc>
          <w:tcPr>
            <w:tcW w:w="6660" w:type="dxa"/>
          </w:tcPr>
          <w:p w14:paraId="49898C50" w14:textId="77777777" w:rsidR="003E21B5" w:rsidRPr="00622AD9" w:rsidRDefault="00000000" w:rsidP="00622AD9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Un campo de estado de texto libre validado con if/elif en el servicio: simple al inicio, pero crece mal y mezcla validación, persistencia y notificación.</w:t>
            </w:r>
          </w:p>
          <w:p w14:paraId="3CD8C7A8" w14:textId="77777777" w:rsidR="003E21B5" w:rsidRPr="00622AD9" w:rsidRDefault="00000000" w:rsidP="00622AD9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Una máquina de estados con librería externa (django-fsm): añade una dependencia que no se justifica para el MVP.</w:t>
            </w:r>
          </w:p>
        </w:tc>
      </w:tr>
      <w:tr w:rsidR="003E21B5" w:rsidRPr="00622AD9" w14:paraId="21A25780" w14:textId="77777777" w:rsidTr="002177A7">
        <w:tc>
          <w:tcPr>
            <w:tcW w:w="2700" w:type="dxa"/>
          </w:tcPr>
          <w:p w14:paraId="679722F5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¿Por qué se seleccionó este patrón?</w:t>
            </w:r>
          </w:p>
        </w:tc>
        <w:tc>
          <w:tcPr>
            <w:tcW w:w="6660" w:type="dxa"/>
          </w:tcPr>
          <w:p w14:paraId="2C24FA48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Cada estado es una clase con su propio comportamiento; agregar un estado nuevo no obliga a tocar los demás (principio abierto/cerrado).</w:t>
            </w:r>
          </w:p>
        </w:tc>
      </w:tr>
      <w:tr w:rsidR="003E21B5" w:rsidRPr="00622AD9" w14:paraId="03B4EAF1" w14:textId="77777777" w:rsidTr="002177A7">
        <w:tc>
          <w:tcPr>
            <w:tcW w:w="2700" w:type="dxa"/>
          </w:tcPr>
          <w:p w14:paraId="6C039DF1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¿Qué ventajas aporta al proyecto?</w:t>
            </w:r>
          </w:p>
        </w:tc>
        <w:tc>
          <w:tcPr>
            <w:tcW w:w="6660" w:type="dxa"/>
          </w:tcPr>
          <w:p w14:paraId="61CF1B96" w14:textId="77777777" w:rsidR="003E21B5" w:rsidRPr="00622AD9" w:rsidRDefault="00000000" w:rsidP="00622AD9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Las reglas del flujo de aprobación quedan aisladas, documentadas y probables de forma independiente.</w:t>
            </w:r>
          </w:p>
          <w:p w14:paraId="61623F34" w14:textId="77777777" w:rsidR="003E21B5" w:rsidRPr="00622AD9" w:rsidRDefault="00000000" w:rsidP="00622AD9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Impide transiciones inválidas y protege la integridad del proceso.</w:t>
            </w:r>
          </w:p>
          <w:p w14:paraId="111F9572" w14:textId="77777777" w:rsidR="003E21B5" w:rsidRPr="00622AD9" w:rsidRDefault="00000000" w:rsidP="00622AD9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Agregar estados o transiciones requiere cambios localizados.</w:t>
            </w:r>
          </w:p>
        </w:tc>
      </w:tr>
      <w:tr w:rsidR="003E21B5" w:rsidRPr="00622AD9" w14:paraId="0CD02E1C" w14:textId="77777777" w:rsidTr="002177A7">
        <w:tc>
          <w:tcPr>
            <w:tcW w:w="2700" w:type="dxa"/>
          </w:tcPr>
          <w:p w14:paraId="4EA5DFB0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Evidencia en el código</w:t>
            </w:r>
          </w:p>
        </w:tc>
        <w:tc>
          <w:tcPr>
            <w:tcW w:w="6660" w:type="dxa"/>
          </w:tcPr>
          <w:p w14:paraId="4C834F5C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Archivo y clases: apps/solicitudes/states.py — EstadoSolicitud, PendienteState, EnEvaluacionState, AprobadaState, RechazadaState y obtener_estado.</w:t>
            </w:r>
          </w:p>
          <w:p w14:paraId="64884FE4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Uso: el modelo Solicitud delega aprobar, rechazar e iniciar evaluación en su estado actual (apps/solicitudes/models.py).</w:t>
            </w:r>
          </w:p>
          <w:p w14:paraId="5C6DC501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Pruebas: test_estado_final_no_permite_nueva_transicion, test_comite_puede_iniciar_y_aprobar_solicitud y test_historial_registra_cambios_de_estado.</w:t>
            </w:r>
          </w:p>
          <w:p w14:paraId="7A2B95C5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Integrado en el Sprint 2 (15/09/2026 al 09/10/2026).</w:t>
            </w:r>
          </w:p>
          <w:p w14:paraId="751DA1AC" w14:textId="373AEC26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2177A7">
              <w:rPr>
                <w:rFonts w:ascii="Arial" w:hAnsi="Arial" w:cs="Arial"/>
                <w:sz w:val="20"/>
                <w:szCs w:val="20"/>
              </w:rPr>
              <w:t>Pull Request: completa</w:t>
            </w:r>
            <w:r w:rsidR="002177A7" w:rsidRPr="002177A7">
              <w:rPr>
                <w:rFonts w:ascii="Arial" w:hAnsi="Arial" w:cs="Arial"/>
                <w:sz w:val="20"/>
                <w:szCs w:val="20"/>
              </w:rPr>
              <w:t>do</w:t>
            </w:r>
            <w:r w:rsidRPr="002177A7">
              <w:rPr>
                <w:rFonts w:ascii="Arial" w:hAnsi="Arial" w:cs="Arial"/>
                <w:sz w:val="20"/>
                <w:szCs w:val="20"/>
              </w:rPr>
              <w:t xml:space="preserve"> según el historial de Git</w:t>
            </w:r>
          </w:p>
        </w:tc>
      </w:tr>
    </w:tbl>
    <w:p w14:paraId="2985ADEF" w14:textId="77777777" w:rsidR="003E21B5" w:rsidRPr="00622AD9" w:rsidRDefault="003E21B5" w:rsidP="00622AD9">
      <w:pPr>
        <w:spacing w:after="120" w:line="360" w:lineRule="auto"/>
        <w:rPr>
          <w:rFonts w:ascii="Arial" w:hAnsi="Arial" w:cs="Arial"/>
        </w:rPr>
      </w:pPr>
    </w:p>
    <w:p w14:paraId="086E616D" w14:textId="77777777" w:rsidR="003E21B5" w:rsidRPr="002177A7" w:rsidRDefault="00000000" w:rsidP="00622AD9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2177A7">
        <w:rPr>
          <w:rFonts w:ascii="Arial" w:hAnsi="Arial" w:cs="Arial"/>
          <w:color w:val="auto"/>
          <w:sz w:val="24"/>
          <w:szCs w:val="24"/>
        </w:rPr>
        <w:t>5.2 Strategy</w:t>
      </w:r>
    </w:p>
    <w:tbl>
      <w:tblPr>
        <w:tblStyle w:val="Tablaconcuadrcula"/>
        <w:tblW w:w="9360" w:type="dxa"/>
        <w:tblLook w:val="0000" w:firstRow="0" w:lastRow="0" w:firstColumn="0" w:lastColumn="0" w:noHBand="0" w:noVBand="0"/>
      </w:tblPr>
      <w:tblGrid>
        <w:gridCol w:w="2700"/>
        <w:gridCol w:w="6660"/>
      </w:tblGrid>
      <w:tr w:rsidR="003E21B5" w:rsidRPr="00622AD9" w14:paraId="71157141" w14:textId="77777777" w:rsidTr="002177A7">
        <w:tc>
          <w:tcPr>
            <w:tcW w:w="2700" w:type="dxa"/>
          </w:tcPr>
          <w:p w14:paraId="0D9C3D89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6660" w:type="dxa"/>
          </w:tcPr>
          <w:p w14:paraId="3DF16751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Comportamiento</w:t>
            </w:r>
          </w:p>
        </w:tc>
      </w:tr>
      <w:tr w:rsidR="003E21B5" w:rsidRPr="00622AD9" w14:paraId="70E4BD00" w14:textId="77777777" w:rsidTr="002177A7">
        <w:tc>
          <w:tcPr>
            <w:tcW w:w="2700" w:type="dxa"/>
          </w:tcPr>
          <w:p w14:paraId="5EA6BADB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Dónde se aplica</w:t>
            </w:r>
          </w:p>
        </w:tc>
        <w:tc>
          <w:tcPr>
            <w:tcW w:w="6660" w:type="dxa"/>
          </w:tcPr>
          <w:p w14:paraId="3D5B414B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Cálculo del puntaje final de una solicitud: promedio simple (becas de nivel medio) o promedio ponderado (becas universitarias y de posgrado).</w:t>
            </w:r>
          </w:p>
        </w:tc>
      </w:tr>
      <w:tr w:rsidR="003E21B5" w:rsidRPr="00622AD9" w14:paraId="35F41808" w14:textId="77777777" w:rsidTr="002177A7">
        <w:tc>
          <w:tcPr>
            <w:tcW w:w="2700" w:type="dxa"/>
          </w:tcPr>
          <w:p w14:paraId="12339247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¿Qué problema resuelve?</w:t>
            </w:r>
          </w:p>
        </w:tc>
        <w:tc>
          <w:tcPr>
            <w:tcW w:w="6660" w:type="dxa"/>
          </w:tcPr>
          <w:p w14:paraId="5F7F6936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El puntaje final puede calcularse distinto según el tipo de beca. Sin el patrón, esa lógica quedaría en un if/elif en el servicio de evaluaciones y crecería con cada nuevo tipo de cálculo.</w:t>
            </w:r>
          </w:p>
        </w:tc>
      </w:tr>
      <w:tr w:rsidR="003E21B5" w:rsidRPr="00622AD9" w14:paraId="592EA84B" w14:textId="77777777" w:rsidTr="002177A7">
        <w:tc>
          <w:tcPr>
            <w:tcW w:w="2700" w:type="dxa"/>
          </w:tcPr>
          <w:p w14:paraId="704AB575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¿Qué otras alternativas existían?</w:t>
            </w:r>
          </w:p>
        </w:tc>
        <w:tc>
          <w:tcPr>
            <w:tcW w:w="6660" w:type="dxa"/>
          </w:tcPr>
          <w:p w14:paraId="7D203F70" w14:textId="77777777" w:rsidR="003E21B5" w:rsidRPr="00622AD9" w:rsidRDefault="00000000" w:rsidP="00622AD9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Un método calcular_puntaje() con if/elif por tipo de beca dentro del modelo Evaluacion: viola el principio abierto/cerrado, pues cada tipo nuevo obliga a modificar código ya probado.</w:t>
            </w:r>
          </w:p>
        </w:tc>
      </w:tr>
      <w:tr w:rsidR="003E21B5" w:rsidRPr="00622AD9" w14:paraId="3744175D" w14:textId="77777777" w:rsidTr="002177A7">
        <w:tc>
          <w:tcPr>
            <w:tcW w:w="2700" w:type="dxa"/>
          </w:tcPr>
          <w:p w14:paraId="6DFB21C8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¿Por qué se seleccionó este patrón?</w:t>
            </w:r>
          </w:p>
        </w:tc>
        <w:tc>
          <w:tcPr>
            <w:tcW w:w="6660" w:type="dxa"/>
          </w:tcPr>
          <w:p w14:paraId="564BDC02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Cada forma de calcular es una clase intercambiable en tiempo de ejecución, seleccionada según el tipo de convocatoria, sin condicionales dispersos.</w:t>
            </w:r>
          </w:p>
        </w:tc>
      </w:tr>
      <w:tr w:rsidR="003E21B5" w:rsidRPr="00622AD9" w14:paraId="0E225B42" w14:textId="77777777" w:rsidTr="002177A7">
        <w:tc>
          <w:tcPr>
            <w:tcW w:w="2700" w:type="dxa"/>
          </w:tcPr>
          <w:p w14:paraId="4A410E12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¿Qué ventajas aporta al proyecto?</w:t>
            </w:r>
          </w:p>
        </w:tc>
        <w:tc>
          <w:tcPr>
            <w:tcW w:w="6660" w:type="dxa"/>
          </w:tcPr>
          <w:p w14:paraId="3CC5A6B9" w14:textId="77777777" w:rsidR="003E21B5" w:rsidRPr="00622AD9" w:rsidRDefault="00000000" w:rsidP="00622AD9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Agregar una nueva forma de evaluar es agregar una clase, sin tocar las existentes.</w:t>
            </w:r>
          </w:p>
          <w:p w14:paraId="0599ED6A" w14:textId="77777777" w:rsidR="003E21B5" w:rsidRPr="00622AD9" w:rsidRDefault="00000000" w:rsidP="00622AD9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Cada algoritmo se prueba por separado.</w:t>
            </w:r>
          </w:p>
          <w:p w14:paraId="7D35A5B0" w14:textId="77777777" w:rsidR="003E21B5" w:rsidRPr="00622AD9" w:rsidRDefault="00000000" w:rsidP="00622AD9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Trabaja en conjunto con el Factory Method, que elige la estrategia adecuada.</w:t>
            </w:r>
          </w:p>
        </w:tc>
      </w:tr>
      <w:tr w:rsidR="003E21B5" w:rsidRPr="00622AD9" w14:paraId="7B38A249" w14:textId="77777777" w:rsidTr="002177A7">
        <w:tc>
          <w:tcPr>
            <w:tcW w:w="2700" w:type="dxa"/>
          </w:tcPr>
          <w:p w14:paraId="5713B271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b/>
                <w:bCs/>
                <w:sz w:val="20"/>
                <w:szCs w:val="20"/>
              </w:rPr>
              <w:t>Evidencia en el código</w:t>
            </w:r>
          </w:p>
        </w:tc>
        <w:tc>
          <w:tcPr>
            <w:tcW w:w="6660" w:type="dxa"/>
          </w:tcPr>
          <w:p w14:paraId="29B16D1F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Archivo y clases: apps/evaluaciones/strategies.py — EstrategiaEvaluacion (interfaz), PromedioSimpleStrategy y PromedioPonderadoStrategy.</w:t>
            </w:r>
          </w:p>
          <w:p w14:paraId="16B41076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Uso: apps/evaluaciones/views.py, mediante EstrategiaEvaluacionFactory.</w:t>
            </w:r>
          </w:p>
          <w:p w14:paraId="14E83C50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Prueba: test_calcula_puntaje_final (apps/evaluaciones/tests.py).</w:t>
            </w:r>
          </w:p>
          <w:p w14:paraId="2C5E7A71" w14:textId="77777777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622AD9">
              <w:rPr>
                <w:rFonts w:ascii="Arial" w:hAnsi="Arial" w:cs="Arial"/>
                <w:sz w:val="20"/>
                <w:szCs w:val="20"/>
              </w:rPr>
              <w:t>Integrado en el Sprint 2 (15/09/2026 al 09/10/2026).</w:t>
            </w:r>
          </w:p>
          <w:p w14:paraId="3F8C0F6D" w14:textId="2CAB988E" w:rsidR="003E21B5" w:rsidRPr="00622AD9" w:rsidRDefault="00000000" w:rsidP="00622AD9">
            <w:pPr>
              <w:spacing w:after="30" w:line="360" w:lineRule="auto"/>
              <w:rPr>
                <w:rFonts w:ascii="Arial" w:hAnsi="Arial" w:cs="Arial"/>
              </w:rPr>
            </w:pPr>
            <w:r w:rsidRPr="002177A7">
              <w:rPr>
                <w:rFonts w:ascii="Arial" w:hAnsi="Arial" w:cs="Arial"/>
                <w:sz w:val="20"/>
                <w:szCs w:val="20"/>
              </w:rPr>
              <w:t>Pull Request: completa</w:t>
            </w:r>
            <w:r w:rsidR="002177A7" w:rsidRPr="002177A7">
              <w:rPr>
                <w:rFonts w:ascii="Arial" w:hAnsi="Arial" w:cs="Arial"/>
                <w:sz w:val="20"/>
                <w:szCs w:val="20"/>
              </w:rPr>
              <w:t>do</w:t>
            </w:r>
            <w:r w:rsidRPr="002177A7">
              <w:rPr>
                <w:rFonts w:ascii="Arial" w:hAnsi="Arial" w:cs="Arial"/>
                <w:sz w:val="20"/>
                <w:szCs w:val="20"/>
              </w:rPr>
              <w:t xml:space="preserve"> según el historial de Git</w:t>
            </w:r>
          </w:p>
        </w:tc>
      </w:tr>
    </w:tbl>
    <w:p w14:paraId="46B6B49E" w14:textId="77777777" w:rsidR="003E21B5" w:rsidRPr="00622AD9" w:rsidRDefault="003E21B5" w:rsidP="00622AD9">
      <w:pPr>
        <w:spacing w:after="120" w:line="360" w:lineRule="auto"/>
        <w:rPr>
          <w:rFonts w:ascii="Arial" w:hAnsi="Arial" w:cs="Arial"/>
        </w:rPr>
      </w:pPr>
    </w:p>
    <w:p w14:paraId="6A3BF307" w14:textId="77777777" w:rsidR="003E21B5" w:rsidRPr="002177A7" w:rsidRDefault="00000000" w:rsidP="002177A7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2177A7">
        <w:rPr>
          <w:rFonts w:ascii="Arial" w:hAnsi="Arial" w:cs="Arial"/>
          <w:color w:val="auto"/>
          <w:sz w:val="28"/>
          <w:szCs w:val="28"/>
        </w:rPr>
        <w:t>6. Evidencia y verificación</w:t>
      </w:r>
    </w:p>
    <w:p w14:paraId="18E74763" w14:textId="77777777" w:rsidR="003E21B5" w:rsidRPr="002177A7" w:rsidRDefault="00000000" w:rsidP="002177A7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2177A7">
        <w:rPr>
          <w:rFonts w:ascii="Arial" w:hAnsi="Arial" w:cs="Arial"/>
          <w:sz w:val="24"/>
          <w:szCs w:val="24"/>
        </w:rPr>
        <w:t>Estado de la evidencia de cada patrón:</w:t>
      </w:r>
    </w:p>
    <w:p w14:paraId="7BAA4D65" w14:textId="5D827910" w:rsidR="003E21B5" w:rsidRPr="002177A7" w:rsidRDefault="00000000" w:rsidP="002177A7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Arial" w:hAnsi="Arial" w:cs="Arial"/>
          <w:sz w:val="24"/>
          <w:szCs w:val="24"/>
        </w:rPr>
      </w:pPr>
      <w:r w:rsidRPr="002177A7">
        <w:rPr>
          <w:rFonts w:ascii="Arial" w:hAnsi="Arial" w:cs="Arial"/>
          <w:sz w:val="24"/>
          <w:szCs w:val="24"/>
        </w:rPr>
        <w:t>Archivo y clase donde se implementa cada patrón (tabla de la sección 2).</w:t>
      </w:r>
    </w:p>
    <w:p w14:paraId="4F6810E1" w14:textId="4EDE2929" w:rsidR="003E21B5" w:rsidRPr="002177A7" w:rsidRDefault="00000000" w:rsidP="002177A7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Arial" w:hAnsi="Arial" w:cs="Arial"/>
          <w:sz w:val="24"/>
          <w:szCs w:val="24"/>
        </w:rPr>
      </w:pPr>
      <w:r w:rsidRPr="002177A7">
        <w:rPr>
          <w:rFonts w:ascii="Arial" w:hAnsi="Arial" w:cs="Arial"/>
          <w:sz w:val="24"/>
          <w:szCs w:val="24"/>
        </w:rPr>
        <w:t>Pull Request e identificación del sprint de integración de cada patrón (completar con el historial de Git y registrar en la bitácora de sprints).</w:t>
      </w:r>
    </w:p>
    <w:p w14:paraId="665C64DF" w14:textId="05E20CAB" w:rsidR="003E21B5" w:rsidRPr="002177A7" w:rsidRDefault="00000000" w:rsidP="002177A7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Arial" w:hAnsi="Arial" w:cs="Arial"/>
          <w:sz w:val="24"/>
          <w:szCs w:val="24"/>
        </w:rPr>
      </w:pPr>
      <w:r w:rsidRPr="002177A7">
        <w:rPr>
          <w:rFonts w:ascii="Arial" w:hAnsi="Arial" w:cs="Arial"/>
          <w:sz w:val="24"/>
          <w:szCs w:val="24"/>
        </w:rPr>
        <w:t>Fragmento o diagrama de clases de los patrones (opcional pero recomendado).</w:t>
      </w:r>
    </w:p>
    <w:p w14:paraId="0196B6C0" w14:textId="757B2DD0" w:rsidR="003E21B5" w:rsidRPr="002177A7" w:rsidRDefault="00000000" w:rsidP="002177A7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Arial" w:hAnsi="Arial" w:cs="Arial"/>
          <w:sz w:val="24"/>
          <w:szCs w:val="24"/>
        </w:rPr>
      </w:pPr>
      <w:r w:rsidRPr="002177A7">
        <w:rPr>
          <w:rFonts w:ascii="Arial" w:hAnsi="Arial" w:cs="Arial"/>
          <w:sz w:val="24"/>
          <w:szCs w:val="24"/>
        </w:rPr>
        <w:lastRenderedPageBreak/>
        <w:t>Pruebas: State, Facade, Strategy y Factory Method tienen pruebas existentes; Builder y Adapter requieren una prueba dedicada.</w:t>
      </w:r>
    </w:p>
    <w:p w14:paraId="0DEDA145" w14:textId="577961C4" w:rsidR="003E21B5" w:rsidRPr="002177A7" w:rsidRDefault="00000000" w:rsidP="002177A7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Arial" w:hAnsi="Arial" w:cs="Arial"/>
          <w:sz w:val="24"/>
          <w:szCs w:val="24"/>
        </w:rPr>
      </w:pPr>
      <w:r w:rsidRPr="002177A7">
        <w:rPr>
          <w:rFonts w:ascii="Arial" w:hAnsi="Arial" w:cs="Arial"/>
          <w:sz w:val="24"/>
          <w:szCs w:val="24"/>
        </w:rPr>
        <w:t>Principios SOLID reforzados: abierto/cerrado (State, Strategy, Factory Method), responsabilidad única (Facade, Builder) e inversión de dependencias (Adapter).</w:t>
      </w:r>
    </w:p>
    <w:sectPr w:rsidR="003E21B5" w:rsidRPr="002177A7">
      <w:headerReference w:type="default" r:id="rId8"/>
      <w:footerReference w:type="default" r:id="rId9"/>
      <w:pgSz w:w="12240" w:h="15840"/>
      <w:pgMar w:top="1300" w:right="1440" w:bottom="1200" w:left="1440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83FBD" w14:textId="77777777" w:rsidR="00BF6936" w:rsidRDefault="00BF6936">
      <w:r>
        <w:separator/>
      </w:r>
    </w:p>
  </w:endnote>
  <w:endnote w:type="continuationSeparator" w:id="0">
    <w:p w14:paraId="209ABCCD" w14:textId="77777777" w:rsidR="00BF6936" w:rsidRDefault="00BF69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5F287" w14:textId="19B1A15E" w:rsidR="003E21B5" w:rsidRDefault="00000000" w:rsidP="00622AD9">
    <w:pPr>
      <w:tabs>
        <w:tab w:val="right" w:pos="9360"/>
      </w:tabs>
    </w:pPr>
    <w:r>
      <w:rPr>
        <w:color w:val="595959"/>
        <w:sz w:val="18"/>
        <w:szCs w:val="18"/>
      </w:rPr>
      <w:t xml:space="preserve">Justificación de Patrones </w:t>
    </w:r>
    <w:r>
      <w:rPr>
        <w:color w:val="595959"/>
        <w:sz w:val="18"/>
        <w:szCs w:val="18"/>
      </w:rPr>
      <w:tab/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622AD9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622AD9">
      <w:rPr>
        <w:noProof/>
        <w:color w:val="595959"/>
        <w:sz w:val="18"/>
        <w:szCs w:val="18"/>
      </w:rPr>
      <w:t>3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4BCD0" w14:textId="77777777" w:rsidR="00BF6936" w:rsidRDefault="00BF6936">
      <w:r>
        <w:separator/>
      </w:r>
    </w:p>
  </w:footnote>
  <w:footnote w:type="continuationSeparator" w:id="0">
    <w:p w14:paraId="5E6285F2" w14:textId="77777777" w:rsidR="00BF6936" w:rsidRDefault="00BF69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BC864" w14:textId="6FD2883C" w:rsidR="003E21B5" w:rsidRDefault="003E21B5" w:rsidP="00622AD9">
    <w:pPr>
      <w:tabs>
        <w:tab w:val="right" w:pos="9360"/>
      </w:tabs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607B2"/>
    <w:multiLevelType w:val="hybridMultilevel"/>
    <w:tmpl w:val="C9007ECA"/>
    <w:lvl w:ilvl="0" w:tplc="687E167E">
      <w:start w:val="1"/>
      <w:numFmt w:val="bullet"/>
      <w:lvlText w:val="●"/>
      <w:lvlJc w:val="left"/>
      <w:pPr>
        <w:ind w:left="720" w:hanging="360"/>
      </w:pPr>
    </w:lvl>
    <w:lvl w:ilvl="1" w:tplc="1EAACE00">
      <w:start w:val="1"/>
      <w:numFmt w:val="bullet"/>
      <w:lvlText w:val="○"/>
      <w:lvlJc w:val="left"/>
      <w:pPr>
        <w:ind w:left="1440" w:hanging="360"/>
      </w:pPr>
    </w:lvl>
    <w:lvl w:ilvl="2" w:tplc="574C54D8">
      <w:start w:val="1"/>
      <w:numFmt w:val="bullet"/>
      <w:lvlText w:val="■"/>
      <w:lvlJc w:val="left"/>
      <w:pPr>
        <w:ind w:left="2160" w:hanging="360"/>
      </w:pPr>
    </w:lvl>
    <w:lvl w:ilvl="3" w:tplc="7D127E62">
      <w:start w:val="1"/>
      <w:numFmt w:val="bullet"/>
      <w:lvlText w:val="●"/>
      <w:lvlJc w:val="left"/>
      <w:pPr>
        <w:ind w:left="2880" w:hanging="360"/>
      </w:pPr>
    </w:lvl>
    <w:lvl w:ilvl="4" w:tplc="0DB665C6">
      <w:start w:val="1"/>
      <w:numFmt w:val="bullet"/>
      <w:lvlText w:val="○"/>
      <w:lvlJc w:val="left"/>
      <w:pPr>
        <w:ind w:left="3600" w:hanging="360"/>
      </w:pPr>
    </w:lvl>
    <w:lvl w:ilvl="5" w:tplc="BC04856A">
      <w:start w:val="1"/>
      <w:numFmt w:val="bullet"/>
      <w:lvlText w:val="■"/>
      <w:lvlJc w:val="left"/>
      <w:pPr>
        <w:ind w:left="4320" w:hanging="360"/>
      </w:pPr>
    </w:lvl>
    <w:lvl w:ilvl="6" w:tplc="B9020B76">
      <w:start w:val="1"/>
      <w:numFmt w:val="bullet"/>
      <w:lvlText w:val="●"/>
      <w:lvlJc w:val="left"/>
      <w:pPr>
        <w:ind w:left="5040" w:hanging="360"/>
      </w:pPr>
    </w:lvl>
    <w:lvl w:ilvl="7" w:tplc="0F66FA48">
      <w:start w:val="1"/>
      <w:numFmt w:val="bullet"/>
      <w:lvlText w:val="●"/>
      <w:lvlJc w:val="left"/>
      <w:pPr>
        <w:ind w:left="5760" w:hanging="360"/>
      </w:pPr>
    </w:lvl>
    <w:lvl w:ilvl="8" w:tplc="451A78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2F7EA6"/>
    <w:multiLevelType w:val="hybridMultilevel"/>
    <w:tmpl w:val="164E1940"/>
    <w:lvl w:ilvl="0" w:tplc="0C4E643E">
      <w:start w:val="1"/>
      <w:numFmt w:val="bullet"/>
      <w:lvlText w:val="•"/>
      <w:lvlJc w:val="left"/>
      <w:pPr>
        <w:ind w:left="540" w:hanging="270"/>
      </w:pPr>
    </w:lvl>
    <w:lvl w:ilvl="1" w:tplc="3EAE2358">
      <w:start w:val="1"/>
      <w:numFmt w:val="bullet"/>
      <w:lvlText w:val="–"/>
      <w:lvlJc w:val="left"/>
      <w:pPr>
        <w:ind w:left="1000" w:hanging="270"/>
      </w:pPr>
    </w:lvl>
    <w:lvl w:ilvl="2" w:tplc="2D44E1C6">
      <w:numFmt w:val="decimal"/>
      <w:lvlText w:val=""/>
      <w:lvlJc w:val="left"/>
    </w:lvl>
    <w:lvl w:ilvl="3" w:tplc="10FCD6D2">
      <w:numFmt w:val="decimal"/>
      <w:lvlText w:val=""/>
      <w:lvlJc w:val="left"/>
    </w:lvl>
    <w:lvl w:ilvl="4" w:tplc="D1F0A466">
      <w:numFmt w:val="decimal"/>
      <w:lvlText w:val=""/>
      <w:lvlJc w:val="left"/>
    </w:lvl>
    <w:lvl w:ilvl="5" w:tplc="6AF46E88">
      <w:numFmt w:val="decimal"/>
      <w:lvlText w:val=""/>
      <w:lvlJc w:val="left"/>
    </w:lvl>
    <w:lvl w:ilvl="6" w:tplc="BF8C0E8A">
      <w:numFmt w:val="decimal"/>
      <w:lvlText w:val=""/>
      <w:lvlJc w:val="left"/>
    </w:lvl>
    <w:lvl w:ilvl="7" w:tplc="0BE83A7E">
      <w:numFmt w:val="decimal"/>
      <w:lvlText w:val=""/>
      <w:lvlJc w:val="left"/>
    </w:lvl>
    <w:lvl w:ilvl="8" w:tplc="7C18066C">
      <w:numFmt w:val="decimal"/>
      <w:lvlText w:val=""/>
      <w:lvlJc w:val="left"/>
    </w:lvl>
  </w:abstractNum>
  <w:num w:numId="1" w16cid:durableId="1408651342">
    <w:abstractNumId w:val="0"/>
    <w:lvlOverride w:ilvl="0">
      <w:startOverride w:val="1"/>
    </w:lvlOverride>
  </w:num>
  <w:num w:numId="2" w16cid:durableId="18177192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1B5"/>
    <w:rsid w:val="00065F02"/>
    <w:rsid w:val="002177A7"/>
    <w:rsid w:val="003E21B5"/>
    <w:rsid w:val="00622AD9"/>
    <w:rsid w:val="00BF6936"/>
    <w:rsid w:val="00F0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36CB80"/>
  <w15:docId w15:val="{75451CC7-EE3B-4F49-BD4E-385A47EC5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6" w:space="3" w:color="2E75B6"/>
      </w:pBdr>
      <w:spacing w:before="360" w:after="14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keepNext/>
      <w:spacing w:before="260" w:after="10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404040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link w:val="TtuloCar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tuloCar">
    <w:name w:val="Título Car"/>
    <w:basedOn w:val="Fuentedeprrafopredeter"/>
    <w:link w:val="Ttulo"/>
    <w:uiPriority w:val="10"/>
    <w:rsid w:val="00622AD9"/>
    <w:rPr>
      <w:sz w:val="56"/>
      <w:szCs w:val="56"/>
    </w:rPr>
  </w:style>
  <w:style w:type="table" w:styleId="Tablaconcuadrcula">
    <w:name w:val="Table Grid"/>
    <w:basedOn w:val="Tablanormal"/>
    <w:uiPriority w:val="39"/>
    <w:rsid w:val="00622AD9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22AD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2AD9"/>
  </w:style>
  <w:style w:type="paragraph" w:styleId="Piedepgina">
    <w:name w:val="footer"/>
    <w:basedOn w:val="Normal"/>
    <w:link w:val="PiedepginaCar"/>
    <w:uiPriority w:val="99"/>
    <w:unhideWhenUsed/>
    <w:rsid w:val="00622AD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2A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1888</Words>
  <Characters>10389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Justificación de Patrones de Diseño — Plataforma Nacional para la Gestión Integral de Becas</vt:lpstr>
    </vt:vector>
  </TitlesOfParts>
  <Company/>
  <LinksUpToDate>false</LinksUpToDate>
  <CharactersWithSpaces>12253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Justificación de Patrones de Diseño — Plataforma Nacional para la Gestión Integral de Becas</dc:title>
  <dc:creator>Equipo de desarrollo</dc:creator>
  <cp:lastModifiedBy>239932 - MEILY SUCELY CHONAY CAN</cp:lastModifiedBy>
  <cp:revision>3</cp:revision>
  <dcterms:created xsi:type="dcterms:W3CDTF">2026-10-29T00:20:00Z</dcterms:created>
  <dcterms:modified xsi:type="dcterms:W3CDTF">2026-10-30T02:38:00Z</dcterms:modified>
</cp:coreProperties>
</file>