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微软雅黑" w:hAnsi="微软雅黑" w:eastAsia="微软雅黑"/>
          <w:b/>
          <w:color w:val="203033"/>
          <w:sz w:val="62"/>
        </w:rPr>
        <w:t>Aetheris</w:t>
      </w:r>
    </w:p>
    <w:p>
      <w:pPr>
        <w:spacing w:before="160"/>
        <w:jc w:val="center"/>
      </w:pPr>
      <w:r>
        <w:rPr>
          <w:rFonts w:ascii="微软雅黑" w:hAnsi="微软雅黑" w:eastAsia="微软雅黑"/>
          <w:b/>
          <w:color w:val="176B68"/>
          <w:sz w:val="48"/>
        </w:rPr>
        <w:t>产品设计与实现说明书</w:t>
      </w:r>
    </w:p>
    <w:p>
      <w:pPr>
        <w:spacing w:before="160"/>
        <w:jc w:val="center"/>
      </w:pPr>
      <w:r>
        <w:rPr>
          <w:rFonts w:ascii="微软雅黑" w:hAnsi="微软雅黑" w:eastAsia="微软雅黑"/>
          <w:b w:val="0"/>
          <w:color w:val="526063"/>
          <w:sz w:val="24"/>
        </w:rPr>
        <w:t>Go Server + Windows Core + Admin Web + 本地 Lens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7F2F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B68"/>
                <w:sz w:val="18"/>
              </w:rPr>
              <w:t>文档版本</w:t>
            </w:r>
          </w:p>
        </w:tc>
        <w:tc>
          <w:tcPr>
            <w:tcW w:type="dxa" w:w="4873"/>
            <w:shd w:fill="FAFBFB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>
        <w:tc>
          <w:tcPr>
            <w:tcW w:type="dxa" w:w="4873"/>
            <w:shd w:fill="E7F2F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B68"/>
                <w:sz w:val="18"/>
              </w:rPr>
              <w:t>产品基线</w:t>
            </w:r>
          </w:p>
        </w:tc>
        <w:tc>
          <w:tcPr>
            <w:tcW w:type="dxa" w:w="4873"/>
            <w:shd w:fill="FAFBFB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Windows Core 0.4.15 / 清洗规则 v2 / 效能定义 v4</w:t>
            </w:r>
          </w:p>
        </w:tc>
      </w:tr>
      <w:tr>
        <w:tc>
          <w:tcPr>
            <w:tcW w:type="dxa" w:w="4873"/>
            <w:shd w:fill="E7F2F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B68"/>
                <w:sz w:val="18"/>
              </w:rPr>
              <w:t>适用环境</w:t>
            </w:r>
          </w:p>
        </w:tc>
        <w:tc>
          <w:tcPr>
            <w:tcW w:type="dxa" w:w="4873"/>
            <w:shd w:fill="FAFBFB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Windows 10/11 + Linux 私有服务器</w:t>
            </w:r>
          </w:p>
        </w:tc>
      </w:tr>
      <w:tr>
        <w:tc>
          <w:tcPr>
            <w:tcW w:type="dxa" w:w="4873"/>
            <w:shd w:fill="E7F2F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B68"/>
                <w:sz w:val="18"/>
              </w:rPr>
              <w:t>编制日期</w:t>
            </w:r>
          </w:p>
        </w:tc>
        <w:tc>
          <w:tcPr>
            <w:tcW w:type="dxa" w:w="4873"/>
            <w:shd w:fill="FAFBFB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 年 9 月 16 日</w:t>
            </w:r>
          </w:p>
        </w:tc>
      </w:tr>
      <w:tr>
        <w:tc>
          <w:tcPr>
            <w:tcW w:type="dxa" w:w="4873"/>
            <w:shd w:fill="E7F2F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B68"/>
                <w:sz w:val="18"/>
              </w:rPr>
              <w:t>文档语言</w:t>
            </w:r>
          </w:p>
        </w:tc>
        <w:tc>
          <w:tcPr>
            <w:tcW w:type="dxa" w:w="4873"/>
            <w:shd w:fill="FAFBFB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526063"/>
          <w:sz w:val="18"/>
        </w:rPr>
        <w:t>本文档描述当前已落地能力、兼容边界及可独立演进接口。</w:t>
      </w:r>
    </w:p>
    <w:p>
      <w:r>
        <w:br w:type="page"/>
      </w:r>
    </w:p>
    <w:p>
      <w:pPr>
        <w:pStyle w:val="Heading1"/>
      </w:pPr>
      <w:r>
        <w:t>文档信息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本文档面向产品、研发、测试、运维和安全评审人员，给出 Aetheris 从终端采集、服务端处理、管理分析到本地智能查询的完整产品设计与实现说明。它以当前代码库和生产部署为基线，不把尚未落地的方向描述为已交付能力。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1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产品目标</w:t>
            </w:r>
          </w:p>
        </w:tc>
        <w:tc>
          <w:tcPr>
            <w:tcW w:type="dxa" w:w="73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把开发工作信号转换为可追溯、可纠正、隐私受控的活动事实、工作片段、个人效能指标和可引用查询答案。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当前版本</w:t>
            </w:r>
          </w:p>
        </w:tc>
        <w:tc>
          <w:tcPr>
            <w:tcW w:type="dxa" w:w="731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安装包与 Core 0.4.15；Go Server 使用 19 组增量迁移；清洗规则 v2；个人效能定义 v4。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生产部署</w:t>
            </w:r>
          </w:p>
        </w:tc>
        <w:tc>
          <w:tcPr>
            <w:tcW w:type="dxa" w:w="73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服务器 192.168.78.138，根目录 /opt/aetheris；Go Server 对外监听 8080，其余模型和向量服务仅监听 loopback。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关键边界</w:t>
            </w:r>
          </w:p>
        </w:tc>
        <w:tc>
          <w:tcPr>
            <w:tcW w:type="dxa" w:w="731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不做员工排名、不生成黑盒总分、不把活跃时段等同工时；原始事件不可变；模型不能改变基础事实和权限。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阅读方式</w:t>
            </w:r>
          </w:p>
        </w:tc>
        <w:tc>
          <w:tcPr>
            <w:tcW w:type="dxa" w:w="73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各模块章节统一描述职责、内部实现、数据、接口、主流程、失败恢复、安全边界和验收口径。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0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629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变更</w:t>
            </w:r>
          </w:p>
        </w:tc>
      </w:tr>
      <w:tr>
        <w:tc>
          <w:tcPr>
            <w:tcW w:type="dxa" w:w="113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1.0</w:t>
            </w:r>
          </w:p>
        </w:tc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2026-09-16</w:t>
            </w:r>
          </w:p>
        </w:tc>
        <w:tc>
          <w:tcPr>
            <w:tcW w:type="dxa" w:w="629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汇总当前全部设计、实现记录、接口契约与生产基线，形成首版完整产品说明书。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1. 产品定位与设计边界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2. 总体架构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3. Windows Setup 安装与升级模块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4. Windows Core 用户态采集模块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5. Windows Core Service 监管模块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6. 项目注册与项目归属模块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7. 进程发现与授权模块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8. 采集适配器模块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9. 本地 Lens 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10. Go Server 与 API 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11. 身份、角色与权限模块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12. 原始事件接收与证据存储模块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13. 事件清洗与事实层模块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14. Work Episode 工作片段模块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15. 个人效能模块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16. Admin Web 管理后台模块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17. 智能查询与 RAG 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18. Model Gateway 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19. 数据存储与基础设施模块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20. 安全、隐私与数据治理模块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21. 部署、运维、备份与升级模块</w:t>
      </w:r>
    </w:p>
    <w:p>
      <w:pPr>
        <w:spacing w:after="30"/>
        <w:ind w:left="227"/>
      </w:pPr>
      <w:r>
        <w:rPr>
          <w:rFonts w:ascii="微软雅黑" w:hAnsi="微软雅黑" w:eastAsia="微软雅黑"/>
          <w:b w:val="0"/>
          <w:color w:val="203033"/>
          <w:sz w:val="18"/>
        </w:rPr>
        <w:t>22. 可观测性、测试与验收模块</w:t>
      </w:r>
    </w:p>
    <w:p>
      <w:pPr>
        <w:spacing w:after="30"/>
        <w:ind w:left="0"/>
      </w:pPr>
      <w:r>
        <w:rPr>
          <w:rFonts w:ascii="微软雅黑" w:hAnsi="微软雅黑" w:eastAsia="微软雅黑"/>
          <w:b w:val="0"/>
          <w:color w:val="203033"/>
          <w:sz w:val="18"/>
        </w:rPr>
        <w:t>附录 A. 主要接口</w:t>
      </w:r>
    </w:p>
    <w:p>
      <w:pPr>
        <w:spacing w:after="30"/>
        <w:ind w:left="0"/>
      </w:pPr>
      <w:r>
        <w:rPr>
          <w:rFonts w:ascii="微软雅黑" w:hAnsi="微软雅黑" w:eastAsia="微软雅黑"/>
          <w:b w:val="0"/>
          <w:color w:val="203033"/>
          <w:sz w:val="18"/>
        </w:rPr>
        <w:t>附录 B. 核心数据表与事件类型</w:t>
      </w:r>
    </w:p>
    <w:p>
      <w:pPr>
        <w:spacing w:after="30"/>
        <w:ind w:left="0"/>
      </w:pPr>
      <w:r>
        <w:rPr>
          <w:rFonts w:ascii="微软雅黑" w:hAnsi="微软雅黑" w:eastAsia="微软雅黑"/>
          <w:b w:val="0"/>
          <w:color w:val="203033"/>
          <w:sz w:val="18"/>
        </w:rPr>
        <w:t>附录 C. 术语与实现基线</w:t>
      </w:r>
    </w:p>
    <w:p>
      <w:r>
        <w:br w:type="page"/>
      </w:r>
    </w:p>
    <w:p>
      <w:pPr>
        <w:pStyle w:val="Heading1"/>
        <w:keepNext/>
      </w:pPr>
      <w:r>
        <w:t>第 1 章  产品定位与设计边界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 Aetheris 要解决的问题、目标用户、能力边界和不可突破的产品约束。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产品定位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Aetheris 是面向研发工作场景的隐私保护型工作信号系统。系统从用户明确授权的 Windows 终端和项目中采集结构化元数据，经本地脱敏、服务端不可变存储和可版本化清洗，形成活动记录、工作片段、个人效能指标以及带证据引用的智能查询答案。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产品首先服务个人工作回顾、研发过程复盘、工具覆盖诊断和受控知识检索；管理员获得的是可解释事实及数据质量，而不是对员工进行自动排名或绩效评判的工具。</w:t>
      </w:r>
    </w:p>
    <w:p>
      <w:pPr>
        <w:pStyle w:val="Heading2"/>
        <w:keepNext/>
      </w:pPr>
      <w:r>
        <w:t>1.2 核心角色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3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25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主要诉求</w:t>
            </w:r>
          </w:p>
        </w:tc>
        <w:tc>
          <w:tcPr>
            <w:tcW w:type="dxa" w:w="328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可见范围</w:t>
            </w:r>
          </w:p>
        </w:tc>
      </w:tr>
      <w:tr>
        <w:tc>
          <w:tcPr>
            <w:tcW w:type="dxa" w:w="153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终端用户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安装、授权项目和进程、查看本机状态、纠正或删除本机证据。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 Windows 用户与当前设备。</w:t>
            </w:r>
          </w:p>
        </w:tc>
      </w:tr>
      <w:tr>
        <w:tc>
          <w:tcPr>
            <w:tcW w:type="dxa" w:w="153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租户管理员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管理设备、主体、工作角色、策略、项目、采集覆盖和数据质量。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所属租户内授权范围。</w:t>
            </w:r>
          </w:p>
        </w:tc>
      </w:tr>
      <w:tr>
        <w:tc>
          <w:tcPr>
            <w:tcW w:type="dxa" w:w="153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分析使用者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查看活动、工作片段、个人效能和智能查询结果。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由权限和项目范围共同限定。</w:t>
            </w:r>
          </w:p>
        </w:tc>
      </w:tr>
      <w:tr>
        <w:tc>
          <w:tcPr>
            <w:tcW w:type="dxa" w:w="153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运维人员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部署、备份、升级、监控磁盘与系统服务。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基础设施与运行状态；日志不含业务正文。</w:t>
            </w:r>
          </w:p>
        </w:tc>
      </w:tr>
      <w:tr>
        <w:tc>
          <w:tcPr>
            <w:tcW w:type="dxa" w:w="153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模型服务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对最小必要投影执行向量化或文本生成。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无数据库直连、无设备凭据、无原始未授权数据。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产品原则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先授权后采集：未知进程、未授权项目和非白名单浏览器页面不能形成可上传内容。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原始证据不可变：纠正使用 supersession，删除使用 tombstone，派生数据可以重算但不能回写原始事实。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确定性优先：项目归属、命令分类、指标计算和权限判断优先采用可复现规则；模型只做受约束的增强。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边界清晰：Setup、Core、Service、Lens、Go Server、Admin Web 和 Model Gateway 均有独立构建或启动入口。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按最小必要原则处理内容：绝对路径、凭据、截图、完整 AI 命令和源代码正文均受到严格限制。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可解释而非评分：指标必须带口径、覆盖度和证据，不提供员工排名、黑盒总分或奖惩判断。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C68A2B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/>
        </w:tc>
        <w:tc>
          <w:tcPr>
            <w:tcW w:type="dxa" w:w="4873"/>
            <w:shd w:fill="F8F0E2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68A2B"/>
              </w:rPr>
              <w:t>已确认的产品边界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“活跃时段”仅表示包含有效活动事实的五分钟窗口；没有动作的五分钟窗口不计入。它不等于工时、在线时长或加班时长。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2 章 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给出四大独立组件及数据处理模块之间的关系、部署边界和演进方式。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跨组件合同与运行拓扑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+ Linux 私有部署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生产运行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AetherisEvent / OpenAPI / 内部模型 API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all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微软雅黑" w:hAnsi="微软雅黑" w:eastAsia="微软雅黑"/>
          <w:b w:val="0"/>
          <w:color w:val="526063"/>
          <w:sz w:val="17"/>
        </w:rPr>
        <w:t>图 2-1  Aetheris 总体运行架构</w:t>
      </w:r>
    </w:p>
    <w:p>
      <w:pPr>
        <w:pStyle w:val="Heading2"/>
        <w:keepNext/>
      </w:pPr>
      <w:r>
        <w:t>2.1 四个独立交付组件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0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94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独立入口</w:t>
            </w:r>
          </w:p>
        </w:tc>
        <w:tc>
          <w:tcPr>
            <w:tcW w:type="dxa" w:w="289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耦合控制</w:t>
            </w:r>
          </w:p>
        </w:tc>
      </w:tr>
      <w:tr>
        <w:tc>
          <w:tcPr>
            <w:tcW w:type="dxa" w:w="130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认证、设备 API、Admin API、事件接收、PostgreSQL 持久化、后台派生任务和静态文件托管。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aetheris-server / aetheris-migrate / aetheris-admin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不导入前端和模型网关实现；只通过文件目录与内部 HTTP 对接。</w:t>
            </w:r>
          </w:p>
        </w:tc>
      </w:tr>
      <w:tr>
        <w:tc>
          <w:tcPr>
            <w:tcW w:type="dxa" w:w="130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Core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本地授权、采集、脱敏、队列、心跳、上传、托盘与本地控制。</w:t>
            </w:r>
          </w:p>
        </w:tc>
        <w:tc>
          <w:tcPr>
            <w:tcW w:type="dxa" w:w="198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AetherisCore.exe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不直连数据库；只调用版本化设备 API。</w:t>
            </w:r>
          </w:p>
        </w:tc>
      </w:tr>
      <w:tr>
        <w:tc>
          <w:tcPr>
            <w:tcW w:type="dxa" w:w="130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Admin Web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登录后管理、分析和智能查询。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npm run dev / npm run build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不直接访问 PostgreSQL；不承担最终授权判断。</w:t>
            </w:r>
          </w:p>
        </w:tc>
      </w:tr>
      <w:tr>
        <w:tc>
          <w:tcPr>
            <w:tcW w:type="dxa" w:w="130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Local Lens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本机状态、项目、进程授权、适配器健康和个人证据。</w:t>
            </w:r>
          </w:p>
        </w:tc>
        <w:tc>
          <w:tcPr>
            <w:tcW w:type="dxa" w:w="198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随 Core 在 loopback 暴露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只能访问当前用户/设备；不成为远程管理入口。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领域模块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在四个交付组件内部，Aetheris 继续沿用 Core、Lens、Forge、Nexus、Pulse 的领域划分：Core 负责采集，Lens 负责可见和修正，Forge 负责清洗与工作片段，Nexus 负责检索与模型编排，Pulse 负责可解释分析。这些是职责边界，不要求首版拆成独立网络微服务。</w:t>
      </w:r>
    </w:p>
    <w:p>
      <w:pPr>
        <w:pStyle w:val="Heading2"/>
        <w:keepNext/>
      </w:pPr>
      <w:r>
        <w:t>2.3 数据主链路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微软雅黑" w:hAnsi="微软雅黑" w:eastAsia="微软雅黑"/>
          <w:b w:val="0"/>
          <w:color w:val="526063"/>
          <w:sz w:val="17"/>
        </w:rPr>
        <w:t>图 2-2  从本地信号到产品消费的数据链路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终端侧只有通过项目授权、进程授权、DLP 和脱敏的事件才能进入本地 SQLite 队列；Go Server 接收后先保存不可变原始事件，再由独立 Worker 生成清洗事实、项目归属、工作片段、个人效能日聚合和检索文档。任何派生失败都不能阻塞 heartbeat 和原始事件入库。</w:t>
      </w:r>
    </w:p>
    <w:p>
      <w:pPr>
        <w:pStyle w:val="Heading2"/>
        <w:keepNext/>
      </w:pPr>
      <w:r>
        <w:t>2.4 兼容与演进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旧版 /v1/events 和旧 AI 交互 API 只做兼容，不作为新页面的主数据源。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对象存储和向量索引通过接口接入；PostgreSQL 保持事务和权限事实源。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Dify 是可选模型编排器，不拥有 Aetheris 数据、索引、引用或权限。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规则升级通过版本指针和重算切换，不通过修改历史事件完成。</w:t>
      </w:r>
    </w:p>
    <w:p>
      <w:r>
        <w:br w:type="page"/>
      </w:r>
    </w:p>
    <w:p>
      <w:pPr>
        <w:pStyle w:val="Heading1"/>
        <w:keepNext/>
      </w:pPr>
      <w:r>
        <w:t>第 3 章  Windows Setup 安装与升级模块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描述独立安装程序如何完成目录选择、项目发现、设备注册、凭据保护、服务安装、验收和回滚。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终端交付与首次配置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原生 NSIS + Provisioning DLL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0.4.15 已发布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Bootstrap / Heartbeat / SCM API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模块职责与交付物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Windows Setup 是唯一面向用户的安装入口，独立于 Core。安装包为单个 NSIS EXE，内嵌用户态 AetherisCore.exe、原生 AetherisCoreService.exe、Provisioning 插件和可选 VS Code VSIX。用户可以自行选择 Core 安装目录；只有 LocalSystem 服务二进制固定放置在受保护的 Program Files 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安装位置</w:t>
            </w:r>
          </w:p>
        </w:tc>
        <w:tc>
          <w:tcPr>
            <w:tcW w:type="dxa" w:w="430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AetherisCore.exe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用户选择的安装目录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托盘、采集、本地 Lens、队列和设备通信。</w:t>
            </w:r>
          </w:p>
        </w:tc>
      </w:tr>
      <w:tr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AetherisCoreService.exe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%ProgramFiles%\Aetheris\Service</w:t>
            </w:r>
          </w:p>
        </w:tc>
        <w:tc>
          <w:tcPr>
            <w:tcW w:type="dxa" w:w="430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启动与会话监管，不处理采集内容。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AetherisProvisioning.dll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安装 staging，完成后清理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原生 HTTP、DPAPI、文件、项目扫描和 SCM 操作。</w:t>
            </w:r>
          </w:p>
        </w:tc>
      </w:tr>
      <w:tr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 VS Code 扩展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VS Code 用户扩展目录</w:t>
            </w:r>
          </w:p>
        </w:tc>
        <w:tc>
          <w:tcPr>
            <w:tcW w:type="dxa" w:w="430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可选采集真实文件行为元数据。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Uninstall.exe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用户选择的安装目录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撤销服务与设备凭据，并按用户选择保留或清理数据。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安装向导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选择安装目录：允许用户使用非默认目录，不把 Core 强制安装到 LOCALAPPDATA。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选择项目扫描根：在后台递归查找 Git 或 SVN 标记，界面显示进度，不阻塞 UI 线程。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确认项目：扫描结果按路径去重并默认全选，用户可以保留多个项目；扫描跳过依赖、构建、缓存和 VCS 内部目录。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确认用户标识：默认 DOMAIN\USERNAME；一个 Windows 终端绑定一个主体，一个主体可拥有多台终端。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输入 enrollment code：该码由服务端管理员提供，是一次性注册密钥，不是设备 Token。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可选安装 VS Code 扩展：默认选中但允许取消，选择结果进入组件状态。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执行安装与验收：只有 bootstrap、DPAPI 写入、heartbeat、Windows 服务 Running、Core ready 和设备可见全部通过才显示成功。</w:t>
      </w:r>
    </w:p>
    <w:p>
      <w:pPr>
        <w:pStyle w:val="Heading2"/>
        <w:keepNext/>
      </w:pPr>
      <w:r>
        <w:t>3.3 项目扫描实现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Provisioning 采用后台工作线程扫描目录，NSIS 页面定时读取扫描状态并更新进度条。扫描识别目录形式或文件形式的 .git，以及目录形式的 .svn；最大深度默认为 8，结果上限为 100，并避开 junction/reparse point，防止循环和长时间卡死。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7"/>
            <w:tcBorders>
              <w:top w:val="single" w:sz="4" w:color="CBD3D3"/>
              <w:left w:val="single" w:sz="4" w:color="CBD3D3"/>
              <w:bottom w:val="single" w:sz="4" w:color="CBD3D3"/>
              <w:right w:val="single" w:sz="4" w:color="CBD3D3"/>
              <w:insideH w:val="single" w:sz="4" w:color="CBD3D3"/>
              <w:insideV w:val="single" w:sz="4" w:color="CBD3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scan_root: E:\code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markers: .git (directory or file), .svn (directory)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skip: .git, .svn, node_modules, .venv, dist, build, bin, obj, .cache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deduplicate: case-insensitive normalized Windows path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result: [{path, vcs, selected}]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Enrollment 与凭据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Setup 调用 POST /api/v1/device/bootstrap 交换一次性的 enrollment code，服务端签发 device token 后只保存其哈希。终端立即使用 Windows DPAPI CurrentUser 加密 token，写入 ACL 受限的 device.credential。Setup 随即调用 heartbeat；响应中的 device_id、subject_id 必须与本地配置一致。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C68A2B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/>
        </w:tc>
        <w:tc>
          <w:tcPr>
            <w:tcW w:type="dxa" w:w="4873"/>
            <w:shd w:fill="F8F0E2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68A2B"/>
              </w:rPr>
              <w:t>成功口径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“文件复制完成”不是安装成功。安装成功以 heartbeat 成功、服务端设备列表可见、服务 Running 且 Core 发出 ready 为准。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升级、身份复用与回滚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升级优先验证现有配置和 DPAPI 凭据；凭据仍可 heartbeat 时复用原设备身份，不重复显示 enrollment。升级前由服务 IPC 请求 Core prepare_update，并保存同卷 previous 副本。新服务或 Core 未在时限内 ready 时恢复旧二进制和 HKLM 配置，保留 config、credential、SQLite 和项目授权。</w:t>
      </w:r>
    </w:p>
    <w:p>
      <w:pPr>
        <w:pStyle w:val="Heading2"/>
        <w:keepNext/>
      </w:pPr>
      <w:r>
        <w:t>3.6 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289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用户可见行为</w:t>
            </w:r>
          </w:p>
        </w:tc>
        <w:tc>
          <w:tcPr>
            <w:tcW w:type="dxa" w:w="447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系统处理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Enrollment 401/403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明确提示注册码无效</w:t>
            </w:r>
          </w:p>
        </w:tc>
        <w:tc>
          <w:tcPr>
            <w:tcW w:type="dxa" w:w="447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不创建成功状态；保留输入页，可重新提交。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网络/服务端不可达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显示阶段和可重试错误</w:t>
            </w:r>
          </w:p>
        </w:tc>
        <w:tc>
          <w:tcPr>
            <w:tcW w:type="dxa" w:w="447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不删除已复制文件和旧配置；新装不宣告成功。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项目扫描过慢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持续显示进度与当前数量</w:t>
            </w:r>
          </w:p>
        </w:tc>
        <w:tc>
          <w:tcPr>
            <w:tcW w:type="dxa" w:w="447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后台线程继续，UI 保持响应；可返回上一步。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服务创建失败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显示稳定错误码</w:t>
            </w:r>
          </w:p>
        </w:tc>
        <w:tc>
          <w:tcPr>
            <w:tcW w:type="dxa" w:w="447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清理本次创建的服务和 staging，不递归删除未知文件。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升级验收失败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显示已回滚</w:t>
            </w:r>
          </w:p>
        </w:tc>
        <w:tc>
          <w:tcPr>
            <w:tcW w:type="dxa" w:w="447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 previous、重启旧服务并保留用户数据。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3.7 验收标准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在用户选择目录完成安装后，即使删除下载目录，Core 仍可启动。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安装包、Core、服务和上报版本一致；当前基线为 0.4.15。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错误 enrollment code、heartbeat 失败或设备不可见时不能显示安装成功。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安装结束后安装器进程退出，仅保留服务、Core 和用户已打开的 VS Code 等正常进程。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安装和升级流程不通过 cmd.exe、PowerShell、sc.exe 或 schtasks.exe 完成系统操作。</w:t>
      </w:r>
    </w:p>
    <w:p>
      <w:r>
        <w:br w:type="page"/>
      </w:r>
    </w:p>
    <w:p>
      <w:pPr>
        <w:pStyle w:val="Heading1"/>
        <w:keepNext/>
      </w:pPr>
      <w:r>
        <w:t>第 4 章  Windows Core 用户态采集模块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 Core 的本地运行时、调度、离线队列、状态机、策略同步和服务端通信。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终端采集与隐私执行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Python 打包为 windowed one-file EXE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0.4.15 生产运行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 API / SQLite / DPAPI / Local Lens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-bounda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微软雅黑" w:hAnsi="微软雅黑" w:eastAsia="微软雅黑"/>
          <w:b w:val="0"/>
          <w:color w:val="526063"/>
          <w:sz w:val="17"/>
        </w:rPr>
        <w:t>图 4-1  Windows 客户端组件与权限边界</w:t>
      </w:r>
    </w:p>
    <w:p>
      <w:pPr>
        <w:pStyle w:val="Heading2"/>
        <w:keepNext/>
      </w:pPr>
      <w:r>
        <w:t>4.1 启动与生命周期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Core 运行在当前交互用户身份下，由 Windows 服务在活动控制台会话启动。启动时获取单实例互斥量，加载配置、DPAPI 凭据、项目注册表、进程授权和本地队列；随后启动托盘、本地 Lens、heartbeat、策略同步和适配器调度。第二实例只打开现有状态页并退出。</w:t>
      </w:r>
    </w:p>
    <w:p>
      <w:pPr>
        <w:pStyle w:val="Heading2"/>
        <w:keepNext/>
      </w:pPr>
      <w:r>
        <w:t>4.2 运行状态模型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状态域</w:t>
            </w:r>
          </w:p>
        </w:tc>
        <w:tc>
          <w:tcPr>
            <w:tcW w:type="dxa" w:w="362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96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47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registration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state、last_heartbeat_at、last_error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注册错误不能被采集成功清除；401/403 标记 credential_invalid。</w:t>
            </w:r>
          </w:p>
        </w:tc>
      </w:tr>
      <w:tr>
        <w:tc>
          <w:tcPr>
            <w:tcW w:type="dxa" w:w="147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capture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state、project_count、last_capture_at、last_error</w:t>
            </w:r>
          </w:p>
        </w:tc>
        <w:tc>
          <w:tcPr>
            <w:tcW w:type="dxa" w:w="39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单个适配器失败不停止其他适配器。</w:t>
            </w:r>
          </w:p>
        </w:tc>
      </w:tr>
      <w:tr>
        <w:tc>
          <w:tcPr>
            <w:tcW w:type="dxa" w:w="147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queue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queued、retrying、rejected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网络故障保留事件；字段错误进入拒绝状态，不无限重试。</w:t>
            </w:r>
          </w:p>
        </w:tc>
      </w:tr>
      <w:tr>
        <w:tc>
          <w:tcPr>
            <w:tcW w:type="dxa" w:w="147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browser_policy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enabled、revision、domain_count、last_error</w:t>
            </w:r>
          </w:p>
        </w:tc>
        <w:tc>
          <w:tcPr>
            <w:tcW w:type="dxa" w:w="39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同步失败继续使用最后有效策略，不记录域名明细。</w:t>
            </w:r>
          </w:p>
        </w:tc>
      </w:tr>
      <w:tr>
        <w:tc>
          <w:tcPr>
            <w:tcW w:type="dxa" w:w="147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server_sync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server_event_count、data_generation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检测服务端代际下降后重置本地 AI 历史 checkpoint 并幂等重放。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Heartbeat 与重试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Core 启动后立即 heartbeat，成功后默认每 60 秒执行一次。网络错误、超时和 5xx 使用从 5 秒到 5 分钟的指数退避；401/403 保留 credential_invalid 并每 5 分钟重试；参数类 4xx 标记配置错误并停止高频重试。Heartbeat 与 ingest 是独立状态链路。</w:t>
      </w:r>
    </w:p>
    <w:p>
      <w:pPr>
        <w:pStyle w:val="Heading2"/>
        <w:keepNext/>
      </w:pPr>
      <w:r>
        <w:t>4.4 本地队列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已脱敏事件先写入 SQLite，再批量上传。队列使用 claim/ack 语义保证崩溃恢复和幂等；本地总空间默认上限 512 MB，近期缓存保留 7 天，未确认事件优先保留。接近配额时暂停新采集并产生本地诊断，不静默丢弃。</w:t>
      </w:r>
    </w:p>
    <w:p>
      <w:pPr>
        <w:pStyle w:val="Heading2"/>
        <w:keepNext/>
      </w:pPr>
      <w:r>
        <w:t>4.5 调度与适配器隔离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适配器按独立健康状态运行。浏览器采集被提前到采集周期前部，避免 Git 或 AI 历史扫描拖延前台窗口采样；AI 历史采用实时通道和公平回填通道，避免少数活跃大文件长期占满额度。适配器输出统一交给项目归属、DLP、脱敏、事件封装和队列。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0.4.15 公平回填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Codex 会话扫描保留实时额度给最近会话，同时用持久 backfill_cursor 轮转全部文件；每个大文件单轮有上限，Core 重启后从游标继续。这样 safe、Desktop-Asist 等不活跃项目不会因活跃会话占满 500 条额度而长期缺失。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托盘与用户控制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托盘显示注册、采集和队列摘要，并提供打开状态页、立即 heartbeat、立即采集和退出。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首次成功启动显示 Windows 通知并自动打开一次本地 Lens。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用户主动退出通过服务 IPC 发送 authenticated normal_exit；服务在当前登录会话内不自动拉起。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用户从开始菜单重新启动时发送 resume，清除本次会话抑制并重新接受服务监管。</w:t>
      </w:r>
    </w:p>
    <w:p>
      <w:pPr>
        <w:pStyle w:val="Heading2"/>
        <w:keepNext/>
      </w:pPr>
      <w:r>
        <w:t>4.7 安全实现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Core 不上传未授权路径；绝对路径只用于本机项目匹配。设备 token、控制 token、项目身份密钥和命令指纹密钥均通过 DPAPI CurrentUser 保护。日志只记录稳定错误码、事件 ID 和计数，不记录事件 payload、命令正文、OCR 文本、URL、token 或项目绝对路径。</w:t>
      </w:r>
    </w:p>
    <w:p>
      <w:r>
        <w:br w:type="page"/>
      </w:r>
    </w:p>
    <w:p>
      <w:pPr>
        <w:pStyle w:val="Heading1"/>
        <w:keepNext/>
      </w:pPr>
      <w:r>
        <w:t>第 5 章  Windows Core Service 监管模块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说明原生 Windows 服务如何随系统启动、进入正确用户会话、监管 Core，并保持严格的 LocalSystem 权限边界。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启动与进程监管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原生 C++ Windows Service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Automatic Delayed Start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SCM / WTS / 受保护命名管道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设计动机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目标终端策略会阻止 Task Scheduler 注册，因此当前版本采用原生 Windows 服务。服务只负责当前活动控制台用户的 Core 生命周期，避免把截图、DPAPI、窗口枚举和采集逻辑放入 LocalSystem。</w:t>
      </w:r>
    </w:p>
    <w:p>
      <w:pPr>
        <w:pStyle w:val="Heading2"/>
        <w:keepNext/>
      </w:pPr>
      <w:r>
        <w:t>5.2 会话启动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服务启动后读取受保护 HKLM 配置，识别活动控制台 SessionId，校验安装用户 SID，通过 WTSQueryUserToken、DuplicateTokenEx、CreateEnvironmentBlock 和 CreateProcessAsUserW 在 winsta0\default 启动 Core。Core 使用用户的非提升令牌，从而获得正确的 DPAPI 和交互桌面。</w:t>
      </w:r>
    </w:p>
    <w:p>
      <w:pPr>
        <w:pStyle w:val="Heading2"/>
        <w:keepNext/>
      </w:pPr>
      <w:r>
        <w:t>5.3 服务 IPC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3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消息</w:t>
            </w:r>
          </w:p>
        </w:tc>
        <w:tc>
          <w:tcPr>
            <w:tcW w:type="dxa" w:w="175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4876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43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ready</w:t>
            </w:r>
          </w:p>
        </w:tc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→ Service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配置、凭据和本地状态已经完成初始化。</w:t>
            </w:r>
          </w:p>
        </w:tc>
      </w:tr>
      <w:tr>
        <w:tc>
          <w:tcPr>
            <w:tcW w:type="dxa" w:w="243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heartbeat</w:t>
            </w:r>
          </w:p>
        </w:tc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→ Service</w:t>
            </w:r>
          </w:p>
        </w:tc>
        <w:tc>
          <w:tcPr>
            <w:tcW w:type="dxa" w:w="487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仅证明进程响应，不携带采集统计和正文。</w:t>
            </w:r>
          </w:p>
        </w:tc>
      </w:tr>
      <w:tr>
        <w:tc>
          <w:tcPr>
            <w:tcW w:type="dxa" w:w="243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normal_exit</w:t>
            </w:r>
          </w:p>
        </w:tc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→ Service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与 10 秒内退出码 0 共同构成用户主动退出。</w:t>
            </w:r>
          </w:p>
        </w:tc>
      </w:tr>
      <w:tr>
        <w:tc>
          <w:tcPr>
            <w:tcW w:type="dxa" w:w="243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resume</w:t>
            </w:r>
          </w:p>
        </w:tc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→ Service</w:t>
            </w:r>
          </w:p>
        </w:tc>
        <w:tc>
          <w:tcPr>
            <w:tcW w:type="dxa" w:w="487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手工启动时清除当前会话抑制。</w:t>
            </w:r>
          </w:p>
        </w:tc>
      </w:tr>
      <w:tr>
        <w:tc>
          <w:tcPr>
            <w:tcW w:type="dxa" w:w="243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prepare_update / update_ready</w:t>
            </w:r>
          </w:p>
        </w:tc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Setup ↔ Core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升级前安全停止并刷新状态。</w:t>
            </w:r>
          </w:p>
        </w:tc>
      </w:tr>
      <w:tr>
        <w:tc>
          <w:tcPr>
            <w:tcW w:type="dxa" w:w="243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session_stop</w:t>
            </w:r>
          </w:p>
        </w:tc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Service → Core</w:t>
            </w:r>
          </w:p>
        </w:tc>
        <w:tc>
          <w:tcPr>
            <w:tcW w:type="dxa" w:w="487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活动控制台用户切换或注销时停止旧会话实例。</w:t>
            </w:r>
          </w:p>
        </w:tc>
      </w:tr>
    </w:tbl>
    <w:p>
      <w:pPr>
        <w:spacing w:after="0"/>
      </w:pP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命名管道为 \.\pipe\Aetheris.Core.Service.v1，帧上限 16 KiB。连接必须同时通过 PID、进程令牌 SID 和 SessionId 校验；协议不接受任意命令、路径、环境变量或 shell 参数。</w:t>
      </w:r>
    </w:p>
    <w:p>
      <w:pPr>
        <w:pStyle w:val="Heading2"/>
        <w:keepNext/>
      </w:pPr>
      <w:r>
        <w:t>5.4 恢复与抑制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66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行为</w:t>
            </w:r>
          </w:p>
        </w:tc>
      </w:tr>
      <w:tr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异常退出少于 5 次/10 分钟</w:t>
            </w:r>
          </w:p>
        </w:tc>
        <w:tc>
          <w:tcPr>
            <w:tcW w:type="dxa" w:w="56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60 秒后恢复。</w:t>
            </w:r>
          </w:p>
        </w:tc>
      </w:tr>
      <w:tr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达到 5 次/10 分钟</w:t>
            </w:r>
          </w:p>
        </w:tc>
        <w:tc>
          <w:tcPr>
            <w:tcW w:type="dxa" w:w="56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进入 15 分钟 crash_loop_backoff。</w:t>
            </w:r>
          </w:p>
        </w:tc>
      </w:tr>
      <w:tr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连续健康 30 分钟</w:t>
            </w:r>
          </w:p>
        </w:tc>
        <w:tc>
          <w:tcPr>
            <w:tcW w:type="dxa" w:w="56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清空失败计数。</w:t>
            </w:r>
          </w:p>
        </w:tc>
      </w:tr>
      <w:tr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用户主动退出</w:t>
            </w:r>
          </w:p>
        </w:tc>
        <w:tc>
          <w:tcPr>
            <w:tcW w:type="dxa" w:w="56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当前登录会话标记 user_suppressed；服务重启仍遵守。</w:t>
            </w:r>
          </w:p>
        </w:tc>
      </w:tr>
      <w:tr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用户注销或 Windows 重启</w:t>
            </w:r>
          </w:p>
        </w:tc>
        <w:tc>
          <w:tcPr>
            <w:tcW w:type="dxa" w:w="56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清除退出抑制，新会话重新自动启动。</w:t>
            </w:r>
          </w:p>
        </w:tc>
      </w:tr>
      <w:tr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服务自身异常退出</w:t>
            </w:r>
          </w:p>
        </w:tc>
        <w:tc>
          <w:tcPr>
            <w:tcW w:type="dxa" w:w="56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SCM 在 60 秒后恢复服务，24 小时后重置失败计数。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安全边界与验收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服务不加载 Python、不访问网络、不打开 SQLite、credential、项目文件、截图或 OCR 文本。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服务二进制和 HKLM 配置只允许 SYSTEM 和 Administrators 修改；用户可修改 Core 不会获得 LocalSystem 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强制结束 Core 后应在恢复窗口出现新 PID；托盘主动退出后至少 120 秒不得自动重启。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系统重启后服务为 Running，Core 位于当前用户会话，托盘和 Lens 可访问。</w:t>
      </w:r>
    </w:p>
    <w:p>
      <w:r>
        <w:br w:type="page"/>
      </w:r>
    </w:p>
    <w:p>
      <w:pPr>
        <w:pStyle w:val="Heading1"/>
        <w:keepNext/>
      </w:pPr>
      <w:r>
        <w:t>第 6 章  项目注册与项目归属模块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描述本地项目发现、跨设备逻辑项目身份、AI 工具兜底项目、历史归属回填和项目展示规则。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项目身份与归属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+ Go Server + PostgreSQL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已落地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 Projects API / Project Admin API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两级项目模型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本地项目位置与逻辑项目分离。项目位置表示某台设备上的授权工作目录；逻辑项目表示跨设备、跨克隆目录的稳定项目。相同 Git 远程仓库通过租户级有键指纹归并，目录名称相同但远程不同的项目不会自动合并。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核心标识</w:t>
            </w:r>
          </w:p>
        </w:tc>
        <w:tc>
          <w:tcPr>
            <w:tcW w:type="dxa" w:w="34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保存内容</w:t>
            </w:r>
          </w:p>
        </w:tc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隐私要求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本地项目位置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local_project_id / root_fingerprint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设备、VCS、末级名称、工作树关系、授权状态。</w:t>
            </w:r>
          </w:p>
        </w:tc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绝对路径只在设备本地。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逻辑项目</w:t>
            </w:r>
          </w:p>
        </w:tc>
        <w:tc>
          <w:tcPr>
            <w:tcW w:type="dxa" w:w="198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logical_project_id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安全显示名、归并状态、冲突状态。</w:t>
            </w:r>
          </w:p>
        </w:tc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不包含本机盘符和用户目录。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项目归属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event_id + rule_version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逻辑项目、位置、方法、置信度和安全证据。</w:t>
            </w:r>
          </w:p>
        </w:tc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不复制路径或远程 URL 原文。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工具兜底项目</w:t>
            </w:r>
          </w:p>
        </w:tc>
        <w:tc>
          <w:tcPr>
            <w:tcW w:type="dxa" w:w="198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project-tool-&lt;tool&gt;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Codex、Claude Code、Cursor、GitHub Copilot 等逻辑标签。</w:t>
            </w:r>
          </w:p>
        </w:tc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cwd 无法授权映射时不上传 cwd。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本地项目身份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Core 对 Git HTTPS、SSH 和 SCP 风格 remote 做规范化，再用租户用途独立密钥生成远程指纹；设备根目录另用设备密钥生成位置指纹。项目身份密钥由注册设备通过专用 API 获取并用 DPAPI 缓存，网络失败时可使用仍有效的缓存。</w:t>
      </w:r>
    </w:p>
    <w:p>
      <w:pPr>
        <w:pStyle w:val="Heading2"/>
        <w:keepNext/>
      </w:pPr>
      <w:r>
        <w:t>6.3 AI 项目归属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AI 会话 cwd 位于已授权 Git/SVN 根目录内时，使用该项目稳定 ID和仓库末级显示名。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cwd 缺失、位于临时目录或授权范围外时，归入工具逻辑项目，不丢弃结构化 AI 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fallback payload 只包含 project_label 和 project_attribution，不上传完整 cwd。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历史修复使用 supersedes_event_id 关联旧归因证据，清洗层采用当前证据。</w:t>
      </w:r>
    </w:p>
    <w:p>
      <w:pPr>
        <w:pStyle w:val="Heading2"/>
        <w:keepNext/>
      </w:pPr>
      <w:r>
        <w:t>6.4 历史归属规则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51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自动处理条件</w:t>
            </w:r>
          </w:p>
        </w:tc>
      </w:tr>
      <w:tr>
        <w:tc>
          <w:tcPr>
            <w:tcW w:type="dxa" w:w="113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exact_binding</w:t>
            </w:r>
          </w:p>
        </w:tc>
        <w:tc>
          <w:tcPr>
            <w:tcW w:type="dxa" w:w="51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事件本地项目 ID与设备项目位置精确绑定。</w:t>
            </w:r>
          </w:p>
        </w:tc>
      </w:tr>
      <w:tr>
        <w:tc>
          <w:tcPr>
            <w:tcW w:type="dxa" w:w="113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remote_fingerprint / safe_label</w:t>
            </w:r>
          </w:p>
        </w:tc>
        <w:tc>
          <w:tcPr>
            <w:tcW w:type="dxa" w:w="51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安全远程指纹或已确认项目标签唯一匹配。</w:t>
            </w:r>
          </w:p>
        </w:tc>
      </w:tr>
      <w:tr>
        <w:tc>
          <w:tcPr>
            <w:tcW w:type="dxa" w:w="113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authorized_root</w:t>
            </w:r>
          </w:p>
        </w:tc>
        <w:tc>
          <w:tcPr>
            <w:tcW w:type="dxa" w:w="51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历史安全投影能确定授权根。</w:t>
            </w:r>
          </w:p>
        </w:tc>
      </w:tr>
      <w:tr>
        <w:tc>
          <w:tcPr>
            <w:tcW w:type="dxa" w:w="113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session_correlation</w:t>
            </w:r>
          </w:p>
        </w:tc>
        <w:tc>
          <w:tcPr>
            <w:tcW w:type="dxa" w:w="51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 AI session 内存在唯一高置信度项目证据。</w:t>
            </w:r>
          </w:p>
        </w:tc>
      </w:tr>
      <w:tr>
        <w:tc>
          <w:tcPr>
            <w:tcW w:type="dxa" w:w="113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time correlation</w:t>
            </w:r>
          </w:p>
        </w:tc>
        <w:tc>
          <w:tcPr>
            <w:tcW w:type="dxa" w:w="51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同设备、项目位置和限定时间窗口候选唯一。</w:t>
            </w:r>
          </w:p>
        </w:tc>
      </w:tr>
      <w:tr>
        <w:tc>
          <w:tcPr>
            <w:tcW w:type="dxa" w:w="113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tool fallback / unresolved</w:t>
            </w:r>
          </w:p>
        </w:tc>
        <w:tc>
          <w:tcPr>
            <w:tcW w:type="dxa" w:w="51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无法可靠归属时保留兜底标签并进入复核，不强制映射。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回填、启用与回滚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项目回填支持 dry-run、apply、resume 和 activate。计算结果按 rule_version 并存，只有完成的 apply 任务才能激活。启用新版本后依次重算清洗事实、工作片段、检索文档、向量和效能；回滚只切换当前版本指针，不改写 events。</w:t>
      </w:r>
    </w:p>
    <w:p>
      <w:pPr>
        <w:pStyle w:val="Heading2"/>
        <w:keepNext/>
      </w:pPr>
      <w:r>
        <w:t>6.6 展示与验收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正常界面只显示 logical_projects.display_name，不显示裸 project-* 或本机完整路径。未归属数据显示“未归属 · Codex”等安全中文名称。验收必须覆盖同仓库多克隆归并、同名不同仓库不归并、工作树归属、工具兜底和历史回填幂等。</w:t>
      </w:r>
    </w:p>
    <w:p>
      <w:r>
        <w:br w:type="page"/>
      </w:r>
    </w:p>
    <w:p>
      <w:pPr>
        <w:pStyle w:val="Heading1"/>
        <w:keepNext/>
      </w:pPr>
      <w:r>
        <w:t>第 7 章  进程发现与授权模块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说明进程身份、一次提醒、授权状态、项目范围和本地隐私边界。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本地进程治理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Core + Local Lens + SQLite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0.4.9 起使用名称+路径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Local Process Consent API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进程身份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本期严格使用“规范化进程名称 + 规范化可执行路径”识别同一进程。Windows 路径统一分隔符、折叠 . 和 .. 并忽略大小写。发布者、签名状态和文件哈希仍作为安全元数据更新，但不再参与主键，避免程序升级后出现大量同名重复授权项。</w:t>
      </w:r>
    </w:p>
    <w:p>
      <w:pPr>
        <w:pStyle w:val="Heading2"/>
        <w:keepNext/>
      </w:pPr>
      <w:r>
        <w:t>7.2 授权状态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9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72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是否采集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pending</w:t>
            </w:r>
          </w:p>
        </w:tc>
        <w:tc>
          <w:tcPr>
            <w:tcW w:type="dxa" w:w="459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新发现、等待用户决定。</w:t>
            </w:r>
          </w:p>
        </w:tc>
        <w:tc>
          <w:tcPr>
            <w:tcW w:type="dxa" w:w="272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否</w:t>
            </w:r>
          </w:p>
        </w:tc>
      </w:tr>
      <w:tr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allow_global</w:t>
            </w:r>
          </w:p>
        </w:tc>
        <w:tc>
          <w:tcPr>
            <w:tcW w:type="dxa" w:w="459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对所有已授权项目视为工作相关。</w:t>
            </w:r>
          </w:p>
        </w:tc>
        <w:tc>
          <w:tcPr>
            <w:tcW w:type="dxa" w:w="272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满足项目和适配器规则时是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allow_project</w:t>
            </w:r>
          </w:p>
        </w:tc>
        <w:tc>
          <w:tcPr>
            <w:tcW w:type="dxa" w:w="459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只对指定逻辑项目允许。</w:t>
            </w:r>
          </w:p>
        </w:tc>
        <w:tc>
          <w:tcPr>
            <w:tcW w:type="dxa" w:w="272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仅指定项目</w:t>
            </w:r>
          </w:p>
        </w:tc>
      </w:tr>
      <w:tr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deny</w:t>
            </w:r>
          </w:p>
        </w:tc>
        <w:tc>
          <w:tcPr>
            <w:tcW w:type="dxa" w:w="459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当前不监控，保留在已处理列表。</w:t>
            </w:r>
          </w:p>
        </w:tc>
        <w:tc>
          <w:tcPr>
            <w:tcW w:type="dxa" w:w="272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否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always_ignore</w:t>
            </w:r>
          </w:p>
        </w:tc>
        <w:tc>
          <w:tcPr>
            <w:tcW w:type="dxa" w:w="459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持续忽略，直到用户重置。</w:t>
            </w:r>
          </w:p>
        </w:tc>
        <w:tc>
          <w:tcPr>
            <w:tcW w:type="dxa" w:w="272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否</w:t>
            </w:r>
          </w:p>
        </w:tc>
      </w:tr>
      <w:tr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default_excluded</w:t>
            </w:r>
          </w:p>
        </w:tc>
        <w:tc>
          <w:tcPr>
            <w:tcW w:type="dxa" w:w="459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系统、安全、即时通信、打印或 Aetheris 自身默认排除。</w:t>
            </w:r>
          </w:p>
        </w:tc>
        <w:tc>
          <w:tcPr>
            <w:tcW w:type="dxa" w:w="272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用户流程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原生发现器观察活动用户会话中的进程身份。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先应用默认排除，再查询本地 SQLite 中已有决定。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新 pending 身份只产生一次托盘通知，并持续保留在 Lens 待处理列表。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用户可单条或批量选择工作相关、仅当前项目、不监控、永久忽略或重置。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只有允许决定和有效项目上下文同时存在，内容采集才可继续。</w:t>
      </w:r>
    </w:p>
    <w:p>
      <w:pPr>
        <w:pStyle w:val="Heading2"/>
        <w:keepNext/>
      </w:pPr>
      <w:r>
        <w:t>7.4 项目关联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允许的进程按“显式项目范围授权 → 适配器工作区/解决方案 → 父进程项目上下文 → 唯一活动项目 → 待归类复核”解析项目。存在歧义时阻止内容采集，但不把它误报为安装失败。</w:t>
      </w:r>
    </w:p>
    <w:p>
      <w:pPr>
        <w:pStyle w:val="Heading2"/>
        <w:keepNext/>
      </w:pPr>
      <w:r>
        <w:t>7.5 本地数据边界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授权决定仅保存在当前用户本地。服务端可以接收待确认、允许和忽略的汇总数量，但不能接收用户拒绝的个人应用清单。Admin Web 不提供远程审批本地进程的能力。</w:t>
      </w:r>
    </w:p>
    <w:p>
      <w:r>
        <w:br w:type="page"/>
      </w:r>
    </w:p>
    <w:p>
      <w:pPr>
        <w:pStyle w:val="Heading1"/>
        <w:keepNext/>
      </w:pPr>
      <w:r>
        <w:t>第 8 章  采集适配器模块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逐类说明终端、版本控制、IDE、AI、浏览器和 OCR 保底适配器的输入、输出与隐私边界。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多源研发活动采集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adapters + VS Code extension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逐适配器独立健康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AetherisEvent / AdapterHealthSnapshot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统一适配器合同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每个适配器必须具备格式检测、只读访问、持久 checkpoint、有界解析、落盘前脱敏、安全健康快照和真实格式测试。适配器故障只更新自身状态，不阻塞其他采集器、heartbeat 或队列上传。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适配器</w:t>
            </w:r>
          </w:p>
        </w:tc>
        <w:tc>
          <w:tcPr>
            <w:tcW w:type="dxa" w:w="192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主要来源</w:t>
            </w:r>
          </w:p>
        </w:tc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事件/事实</w:t>
            </w:r>
          </w:p>
        </w:tc>
        <w:tc>
          <w:tcPr>
            <w:tcW w:type="dxa" w:w="294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不采集内容</w:t>
            </w:r>
          </w:p>
        </w:tc>
      </w:tr>
      <w:tr>
        <w:tc>
          <w:tcPr>
            <w:tcW w:type="dxa" w:w="13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Git</w:t>
            </w:r>
          </w:p>
        </w:tc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git CLI 只读命令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commit 元数据、diff 数量、版本控制活动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patch body、仓库凭据、原始远程 URL</w:t>
            </w:r>
          </w:p>
        </w:tc>
      </w:tr>
      <w:tr>
        <w:tc>
          <w:tcPr>
            <w:tcW w:type="dxa" w:w="13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SVN</w:t>
            </w:r>
          </w:p>
        </w:tc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svn info/status --xml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working-copy revision、状态数量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密码、文件正文、repository URL 原文</w:t>
            </w:r>
          </w:p>
        </w:tc>
      </w:tr>
      <w:tr>
        <w:tc>
          <w:tcPr>
            <w:tcW w:type="dxa" w:w="13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PowerShell/Terminal</w:t>
            </w:r>
          </w:p>
        </w:tc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PSReadLine 历史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terminal.command、逻辑命令和残片证据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终端输出、环境变量、未脱敏凭据</w:t>
            </w:r>
          </w:p>
        </w:tc>
      </w:tr>
      <w:tr>
        <w:tc>
          <w:tcPr>
            <w:tcW w:type="dxa" w:w="13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Codex/Claude Code</w:t>
            </w:r>
          </w:p>
        </w:tc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本地结构化 JSONL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ai.message、ai.tool_call、session 元数据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AI 命令原文、动态 arguments、未授权 cwd</w:t>
            </w:r>
          </w:p>
        </w:tc>
      </w:tr>
      <w:tr>
        <w:tc>
          <w:tcPr>
            <w:tcW w:type="dxa" w:w="13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Cursor/Copilot</w:t>
            </w:r>
          </w:p>
        </w:tc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受支持的本地结构化存储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AI 会话与安全消息投影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私有数据库无关字段、凭据</w:t>
            </w:r>
          </w:p>
        </w:tc>
      </w:tr>
      <w:tr>
        <w:tc>
          <w:tcPr>
            <w:tcW w:type="dxa" w:w="13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VS Code 窗口</w:t>
            </w:r>
          </w:p>
        </w:tc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原生顶层窗口枚举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ide.activity 低粒度工作区/活动文件变化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源代码正文、后台文档内容</w:t>
            </w:r>
          </w:p>
        </w:tc>
      </w:tr>
      <w:tr>
        <w:tc>
          <w:tcPr>
            <w:tcW w:type="dxa" w:w="13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VS Code 扩展</w:t>
            </w:r>
          </w:p>
        </w:tc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VS Code 官方 API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file opened/edited/saved/closed、workspace、extension change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输入字符、代码正文、完整 diff、剪贴板</w:t>
            </w:r>
          </w:p>
        </w:tc>
      </w:tr>
      <w:tr>
        <w:tc>
          <w:tcPr>
            <w:tcW w:type="dxa" w:w="13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Visual Studio</w:t>
            </w:r>
          </w:p>
        </w:tc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解决方案、窗口与可用事件源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visualstudio.activity、构建/调试/测试元数据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源文件正文和调试敏感内容</w:t>
            </w:r>
          </w:p>
        </w:tc>
      </w:tr>
      <w:tr>
        <w:tc>
          <w:tcPr>
            <w:tcW w:type="dxa" w:w="13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Browser</w:t>
            </w:r>
          </w:p>
        </w:tc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Chrome/Edge 前台窗口、UIA、内存截图和 OCR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browser.page_view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历史记录、Cookie、表单值、非白名单页面</w:t>
            </w:r>
          </w:p>
        </w:tc>
      </w:tr>
      <w:tr>
        <w:tc>
          <w:tcPr>
            <w:tcW w:type="dxa" w:w="13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Application OCR</w:t>
            </w:r>
          </w:p>
        </w:tc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已授权前台进程的受控截图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application.activity 低置信度事实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截图文件、高风险 OCR 原文、密码窗口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PowerShell 逻辑命令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终端适配器先按奇数尾随反引号拼接显式续行，再用 PowerShell AST 完整性校验。以参数开头且无法独立执行的记录，会在同设备、同项目、相邻顺序和时间窗口内尝试与主命令合并；倒序样本可重排后校验。无法可靠合并的片段保留为原始证据并排除效能。</w:t>
      </w:r>
    </w:p>
    <w:p>
      <w:pPr>
        <w:pStyle w:val="Heading2"/>
        <w:keepNext/>
      </w:pPr>
      <w:r>
        <w:t>8.3 AI 会话与工具调用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只解析官方本地历史中的结构化消息和工具调用，不从自然语言回复猜测命令。AI shell 工具只生成 command_type、安全摘要和设备内 HMAC；无法静态确定的自动化调用进入待确认。Codex 历史采用实时 + 公平回填双通道，保证多项目会话逐步全覆盖。</w:t>
      </w:r>
    </w:p>
    <w:p>
      <w:pPr>
        <w:pStyle w:val="Heading2"/>
        <w:keepNext/>
      </w:pPr>
      <w:r>
        <w:t>8.4 VS Code 行为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真实文件编辑行为由独立 VS Code 扩展通过当前用户 ACL 的命名管道发送给 Core；扩展没有设备 Token，不直接访问服务端。编辑事件只统计变更次数和新增/删除字符数量，contentChanges.text 只在回调内读取长度。Core 完成项目授权、相对路径化和绝对路径删除后才入队。</w:t>
      </w:r>
    </w:p>
    <w:p>
      <w:pPr>
        <w:pStyle w:val="Heading2"/>
        <w:keepNext/>
      </w:pPr>
      <w:r>
        <w:t>8.5 浏览器活动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浏览器采集默认关闭。管理员启用并配置规范域名白名单后，Core 才处理 Chrome/Edge 前台窗口。UIA 读取地址栏并验证域名，截图只存在内存，用于有限滚动和 OCR；脱敏/DLP 完成后立即释放。非白名单、后台浏览器、ChatGPT 桌面应用或 Explorer 等前台进程不会生成浏览器页面事件。</w:t>
      </w:r>
    </w:p>
    <w:p>
      <w:pPr>
        <w:pStyle w:val="Heading2"/>
        <w:keepNext/>
      </w:pPr>
      <w:r>
        <w:t>8.6 通用应用 OCR 保底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对已经本地授权、位于前台且 60 秒没有专属适配器事件的工作进程，可以触发低频 OCR 保底。密码控件、浏览器、安全工具、即时通信和隐私门禁命中的窗口永久排除；相同内容五分钟内只上传一次。该事实置信度为 low，并在同一时段已有专属事实时不重复增加效能活跃窗口。</w:t>
      </w:r>
    </w:p>
    <w:p>
      <w:pPr>
        <w:pStyle w:val="Heading2"/>
        <w:keepNext/>
      </w:pPr>
      <w:r>
        <w:t>8.7 适配器健康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active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近期成功产生有效事件。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idle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数据源正常但当前没有变化。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disabled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用户取消、停用或策略关闭。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source_missing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所需应用或数据源不存在。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permission_denied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只读访问被操作系统拒绝。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format_changed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检测到未知数据格式，停止猜测解析。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dependency_missing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Git/SVN/OCR 等外部依赖缺失。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error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协议、解析、队列或运行错误，附稳定错误码。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9 章  本地 Lens 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描述只在本机回环地址开放的状态、授权、项目和证据管理体验。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本机可见、纠正与控制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内嵌 HTTP + 静态页面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优先 127.0.0.1:15473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Local API / Control Credential / CSRF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定位与访问边界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Local Lens 是终端用户的第一方控制面，随 Core 启动，优先绑定 127.0.0.1:15473；端口冲突时选择动态端口并写入状态文件。它拒绝非 loopback Host，不暴露到服务端，也不能访问其他用户或设备数据。</w:t>
      </w:r>
    </w:p>
    <w:p>
      <w:pPr>
        <w:pStyle w:val="Heading2"/>
        <w:keepNext/>
      </w:pPr>
      <w:r>
        <w:t>9.2 页面结构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页面/区域</w:t>
            </w:r>
          </w:p>
        </w:tc>
        <w:tc>
          <w:tcPr>
            <w:tcW w:type="dxa" w:w="408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28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可执行操作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总览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服务、Core、注册、采集、队列和最近错误。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立即 heartbeat、立即采集、启动或退出 Core。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授权项目、VCS、逻辑项目、状态和 revision。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添加、暂停、恢复、移除、解决冲突。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进程授权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状态统计、筛选、搜索、名称、路径、发布者、决定时间。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单条/批量允许、项目允许、拒绝、永久忽略、重置。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采集健康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每个适配器状态、阶段、计数、最近事件和错误码。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针对性恢复或重新检查。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VS Code 采集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扩展安装状态、版本、协议和最近事件。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安装、启用、停用、卸载、清除缓存。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个人工作片段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当前设备的目标、动作、验证、结果和证据。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查看证据、纠正或发起替代。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本地控制安全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读操作受 loopback 和本地会话限制；所有变更操作要求独立于设备 token 的 local control credential 和 CSRF 校验。页面不把 token 放入 URL 或日志，服务端 Admin 会话也不能用于调用 Local Lens。</w:t>
      </w:r>
    </w:p>
    <w:p>
      <w:pPr>
        <w:pStyle w:val="Heading2"/>
        <w:keepNext/>
      </w:pPr>
      <w:r>
        <w:t>9.4 进程授权工作台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进程列表按名称+路径去重，提供待确认/已处理状态筛选以及名称、路径、发布者搜索。批量操作逐条提交，部分失败时保留成功项并单独显示失败项，刷新后以本地数据库最终状态为准。</w:t>
      </w:r>
    </w:p>
    <w:p>
      <w:pPr>
        <w:pStyle w:val="Heading2"/>
        <w:keepNext/>
      </w:pPr>
      <w:r>
        <w:t>9.5 错误与恢复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固定端口不可用时使用动态端口，托盘始终打开状态文件中记录的真实 URL。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页面脚本错误必须被前端回归和真实浏览器点击验证覆盖，不能仅检查 HTTP 200。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Core 停止时页面不可用属于预期；Windows 服务状态仍可从服务日志和 SCM 检查。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项目操作采用 revision 防止并发覆盖；冲突返回当前版本供页面刷新。</w:t>
      </w:r>
    </w:p>
    <w:p>
      <w:r>
        <w:br w:type="page"/>
      </w:r>
    </w:p>
    <w:p>
      <w:pPr>
        <w:pStyle w:val="Heading1"/>
        <w:keepNext/>
      </w:pPr>
      <w:r>
        <w:t>第 10 章  Go Server 与 API 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 Go Server 的进程入口、包边界、路由、后台 Worker、静态文件托管和失败隔离。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服务端业务与 API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+ PostgreSQL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 :8080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/api/v1/* /admin/* /downloads/client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独立入口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2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6746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32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aetheris-server</w:t>
            </w:r>
          </w:p>
        </w:tc>
        <w:tc>
          <w:tcPr>
            <w:tcW w:type="dxa" w:w="674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启动 HTTP、数据库连接池、后台 Worker、静态 Admin Web 和客户端下载。</w:t>
            </w:r>
          </w:p>
        </w:tc>
      </w:tr>
      <w:tr>
        <w:tc>
          <w:tcPr>
            <w:tcW w:type="dxa" w:w="232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aetheris-migrate</w:t>
            </w:r>
          </w:p>
        </w:tc>
        <w:tc>
          <w:tcPr>
            <w:tcW w:type="dxa" w:w="674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按版本执行 PostgreSQL 增量 migration。</w:t>
            </w:r>
          </w:p>
        </w:tc>
      </w:tr>
      <w:tr>
        <w:tc>
          <w:tcPr>
            <w:tcW w:type="dxa" w:w="232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aetheris-admin</w:t>
            </w:r>
          </w:p>
        </w:tc>
        <w:tc>
          <w:tcPr>
            <w:tcW w:type="dxa" w:w="674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管理员密码重置、清洗历史回填等受控运维操作。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内部分层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HTTP handler 只负责协议解析、参数校验、认证和序列化；authorization 负责统一 permission 和 scope 判断；领域 service 执行业务规则；repository 负责带 tenant scope 的 SQL；worker 处理清洗、项目归属、工作片段、效能、索引和查询任务。领域包不依赖 React 或具体模型 provider。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5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包域</w:t>
            </w:r>
          </w:p>
        </w:tc>
        <w:tc>
          <w:tcPr>
            <w:tcW w:type="dxa" w:w="561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345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auth / authorization</w:t>
            </w:r>
          </w:p>
        </w:tc>
        <w:tc>
          <w:tcPr>
            <w:tcW w:type="dxa" w:w="56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管理员会话、密码、权限和租户/项目范围。</w:t>
            </w:r>
          </w:p>
        </w:tc>
      </w:tr>
      <w:tr>
        <w:tc>
          <w:tcPr>
            <w:tcW w:type="dxa" w:w="345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devices / projects / browserpolicy / applicationpolicy</w:t>
            </w:r>
          </w:p>
        </w:tc>
        <w:tc>
          <w:tcPr>
            <w:tcW w:type="dxa" w:w="561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设备注册、项目同步和终端策略。</w:t>
            </w:r>
          </w:p>
        </w:tc>
      </w:tr>
      <w:tr>
        <w:tc>
          <w:tcPr>
            <w:tcW w:type="dxa" w:w="345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events / activities / cleaning</w:t>
            </w:r>
          </w:p>
        </w:tc>
        <w:tc>
          <w:tcPr>
            <w:tcW w:type="dxa" w:w="56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原始事件校验、统一活动查询和事实清洗。</w:t>
            </w:r>
          </w:p>
        </w:tc>
      </w:tr>
      <w:tr>
        <w:tc>
          <w:tcPr>
            <w:tcW w:type="dxa" w:w="345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projectattribution / episodes</w:t>
            </w:r>
          </w:p>
        </w:tc>
        <w:tc>
          <w:tcPr>
            <w:tcW w:type="dxa" w:w="561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历史归属、版本启用和工作片段。</w:t>
            </w:r>
          </w:p>
        </w:tc>
      </w:tr>
      <w:tr>
        <w:tc>
          <w:tcPr>
            <w:tcW w:type="dxa" w:w="345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effectiveness</w:t>
            </w:r>
          </w:p>
        </w:tc>
        <w:tc>
          <w:tcPr>
            <w:tcW w:type="dxa" w:w="56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日聚合、趋势、覆盖度和模型总结投影。</w:t>
            </w:r>
          </w:p>
        </w:tc>
      </w:tr>
      <w:tr>
        <w:tc>
          <w:tcPr>
            <w:tcW w:type="dxa" w:w="345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retrieval</w:t>
            </w:r>
          </w:p>
        </w:tc>
        <w:tc>
          <w:tcPr>
            <w:tcW w:type="dxa" w:w="561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检索文档、Qdrant、异步查询、结构化答案和引用。</w:t>
            </w:r>
          </w:p>
        </w:tc>
      </w:tr>
      <w:tr>
        <w:tc>
          <w:tcPr>
            <w:tcW w:type="dxa" w:w="345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adapterhealth / health / adminops</w:t>
            </w:r>
          </w:p>
        </w:tc>
        <w:tc>
          <w:tcPr>
            <w:tcW w:type="dxa" w:w="561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采集覆盖、运行健康和受控运维。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路由与静态托管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根路径直接进入登录页；登录后 Admin Web 显示主页面，右上角提供 Windows 客户端下载。Go Server 只提供 API 和静态文件托管，不使用 Go 模板渲染。/downloads/client 只返回配置指定的单个已验证安装包，不开放目录遍历或任意文件读取。</w:t>
      </w:r>
    </w:p>
    <w:p>
      <w:pPr>
        <w:pStyle w:val="Heading2"/>
        <w:keepNext/>
      </w:pPr>
      <w:r>
        <w:t>10.4 后台 Worker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34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4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失败影响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Cleaning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原始事件增量或人工范围重算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不影响 ingest；任务记录错误并可重跑。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 Attribution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项目注册变化或 backfill job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继续使用上一启用版本。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Episode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新事实或归属切换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保留上一有效 revision。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Effectiveness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每 5 分钟重算今天/昨天或人工任务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页面显示旧聚合和任务状态。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Retrieval Indexer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当前规则版本事实增量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文档标记 failed/pending，不阻塞活动查询。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RAG Query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用户提交异步查询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 failed，保留错误码和已授权过滤条件。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10.5 API 共同约束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所有设备身份从 token 反查，客户端传入的 tenant/subject/device 不作为权威。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 Admin 查询都必须有 tenant scope，项目范围在 repository 和 PostgreSQL RLS 两层约束。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JSON 请求有大小上限，时间范围和分页参数有上限，避免全表扫描和内存加载。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写操作进入 audit_logs，日志不记录 payload、token、原始 prompt 或模型 response。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请求失败返回稳定错误码与 request ID；内部依赖错误不把凭据和实现堆栈返回浏览器。</w:t>
      </w:r>
    </w:p>
    <w:p>
      <w:r>
        <w:br w:type="page"/>
      </w:r>
    </w:p>
    <w:p>
      <w:pPr>
        <w:pStyle w:val="Heading1"/>
        <w:keepNext/>
      </w:pPr>
      <w:r>
        <w:t>第 11 章  身份、角色与权限模块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区分管理员访问权限与被采集用户工作角色，说明主体、终端、会话和权限判定。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身份与访问控制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 + PostgreSQL RLS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已落地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Session Cookie / Device Token / Permission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身份关系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一个 Windows 终端只对应一个采集主体，一个主体可以拥有多台终端。Setup 依据规范化用户标识派生稳定 subject_id，并结合机器标识生成 device_id。服务端 bootstrap 创建或绑定主体与设备；已存在主体不会因另一台设备注册而静默改名。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351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74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基数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tenant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组织和数据隔离边界。</w:t>
            </w:r>
          </w:p>
        </w:tc>
        <w:tc>
          <w:tcPr>
            <w:tcW w:type="dxa" w:w="374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拥有多个用户、主体、设备和项目。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type="dxa" w:w="351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 Admin Web 的账户。</w:t>
            </w:r>
          </w:p>
        </w:tc>
        <w:tc>
          <w:tcPr>
            <w:tcW w:type="dxa" w:w="374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 membership 获得访问角色。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subject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被采集的实际终端用户。</w:t>
            </w:r>
          </w:p>
        </w:tc>
        <w:tc>
          <w:tcPr>
            <w:tcW w:type="dxa" w:w="374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一个主体可绑定多台设备。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</w:t>
            </w:r>
          </w:p>
        </w:tc>
        <w:tc>
          <w:tcPr>
            <w:tcW w:type="dxa" w:w="351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一台 Windows 终端。</w:t>
            </w:r>
          </w:p>
        </w:tc>
        <w:tc>
          <w:tcPr>
            <w:tcW w:type="dxa" w:w="374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第一版只能绑定一个主体。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work_role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研发、测试、产品等业务工作身份。</w:t>
            </w:r>
          </w:p>
        </w:tc>
        <w:tc>
          <w:tcPr>
            <w:tcW w:type="dxa" w:w="374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可分配到主体或项目范围。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access_role</w:t>
            </w:r>
          </w:p>
        </w:tc>
        <w:tc>
          <w:tcPr>
            <w:tcW w:type="dxa" w:w="351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platform_admin、tenant_admin 等系统访问角色。</w:t>
            </w:r>
          </w:p>
        </w:tc>
        <w:tc>
          <w:tcPr>
            <w:tcW w:type="dxa" w:w="374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决定管理端权限，不代表工作身份。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两类角色严格分离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C68A2B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/>
        </w:tc>
        <w:tc>
          <w:tcPr>
            <w:tcW w:type="dxa" w:w="4873"/>
            <w:shd w:fill="F8F0E2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68A2B"/>
              </w:rPr>
              <w:t>关键概念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“研发、测试、产品”是终端采集用户的工作角色，用于数据归类；“tenant_admin、member、device_ingest”是系统访问角色，用于授权。两者不能混用。</w:t>
            </w:r>
          </w:p>
        </w:tc>
      </w:tr>
    </w:tbl>
    <w:p>
      <w:pPr>
        <w:spacing w:after="0"/>
      </w:pP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工作角色生效优先级为项目覆盖、主体分配、租户默认值。事件入库时固化 role_id、code、version 和 source 快照，因此后续把主体改为研发不会悄悄改写历史证据；需要历史口径调整时通过受审计的派生重算完成。</w:t>
      </w:r>
    </w:p>
    <w:p>
      <w:pPr>
        <w:pStyle w:val="Heading2"/>
        <w:keepNext/>
      </w:pPr>
      <w:r>
        <w:t>11.3 访问角色与权限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访问角色</w:t>
            </w:r>
          </w:p>
        </w:tc>
        <w:tc>
          <w:tcPr>
            <w:tcW w:type="dxa" w:w="6690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典型权限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platform_admin</w:t>
            </w:r>
          </w:p>
        </w:tc>
        <w:tc>
          <w:tcPr>
            <w:tcW w:type="dxa" w:w="669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跨租户平台管理，仅限受控场景。</w:t>
            </w:r>
          </w:p>
        </w:tc>
      </w:tr>
      <w:tr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tenant_admin</w:t>
            </w:r>
          </w:p>
        </w:tc>
        <w:tc>
          <w:tcPr>
            <w:tcW w:type="dxa" w:w="669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租户设备、主体、角色、策略、项目、活动、效能和运维任务。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analyst / reviewer</w:t>
            </w:r>
          </w:p>
        </w:tc>
        <w:tc>
          <w:tcPr>
            <w:tcW w:type="dxa" w:w="669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按授权项目或范围读取事实、证据和审计；默认不读取完整个人效能。</w:t>
            </w:r>
          </w:p>
        </w:tc>
      </w:tr>
      <w:tr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member</w:t>
            </w:r>
          </w:p>
        </w:tc>
        <w:tc>
          <w:tcPr>
            <w:tcW w:type="dxa" w:w="669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 user_subject_links 显式绑定后读取本人数据。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device_ingest</w:t>
            </w:r>
          </w:p>
        </w:tc>
        <w:tc>
          <w:tcPr>
            <w:tcW w:type="dxa" w:w="669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仅 bootstrap 后的 heartbeat、项目注册、健康和事件上传；不能读取管理数据。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会话与设备凭据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管理员登录使用短期会话与刷新机制，浏览器只保存 HttpOnly、SameSite cookie；所有 cookie 认证的写操作要求 CSRF。设备 token 只在 bootstrap 响应一次，服务端保存哈希、scope、创建/撤销和最后使用时间。设备撤销后 heartbeat 和 ingest 均被拒绝。</w:t>
      </w:r>
    </w:p>
    <w:p>
      <w:pPr>
        <w:pStyle w:val="Heading2"/>
        <w:keepNext/>
      </w:pPr>
      <w:r>
        <w:t>11.5 审计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登录、设备注册与撤销、工作角色分配、项目合并/重分配、事件 tombstone、数据重算、模型调用和策略更新进入追加写 audit_logs。审计记录 actor、动作、资源、范围、结果和时间，不复制业务 payload 与凭据。</w:t>
      </w:r>
    </w:p>
    <w:p>
      <w:r>
        <w:br w:type="page"/>
      </w:r>
    </w:p>
    <w:p>
      <w:pPr>
        <w:pStyle w:val="Heading1"/>
        <w:keepNext/>
      </w:pPr>
      <w:r>
        <w:t>第 12 章  原始事件接收与证据存储模块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 AetherisEvent 合同、幂等接收、不可变证据、删除和替代语义。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规范事件与原始证据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+ Go Server + PostgreSQL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schema v1 向后兼容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 /api/v1/ingest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AetherisEvent 信封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所有采集源统一包装为 AetherisEvent。信封把身份、项目、来源、发生时间、内容哈希、脱敏报告、处理许可和 payload 分开，使服务端可以在不理解每种适配器细节的情况下进行校验、幂等和审计。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408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字段示例</w:t>
            </w:r>
          </w:p>
        </w:tc>
        <w:tc>
          <w:tcPr>
            <w:tcW w:type="dxa" w:w="340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tenant_id、subject_id、device_id、project_id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由设备凭据和项目注册共同约束。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事件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event_id、schema_version、event_type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全局幂等键和版本化合同。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来源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source、source_version、session_id、correlation_id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跨源关联和适配器诊断。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occurred_at、ingested_at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业务发生时间和服务端接收时间分离。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内容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payload、content_hash、content_refs</w:t>
            </w:r>
          </w:p>
        </w:tc>
        <w:tc>
          <w:tcPr>
            <w:tcW w:type="dxa" w:w="340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只包含脱敏、授权后的最小投影。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治理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provenance、redaction_report、processing_grants、crypto_mode</w:t>
            </w:r>
          </w:p>
        </w:tc>
        <w:tc>
          <w:tcPr>
            <w:tcW w:type="dxa" w:w="340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说明来源、脱敏和允许处理范围。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接收流程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校验 Device Token 并反查 tenant、subject 和 device。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限制请求体、批次数量和字段长度，按 JSON Schema 校验事件。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检查项目是否属于设备的有效注册范围，或是否为允许的 AI 工具兜底项目。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按事件入库时的工作角色规则固化角色快照。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以 event_id 插入 PostgreSQL；重复 ID 返回 duplicate，不产生第二行。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返回逐事件 accepted/rejected 结果；合法事件接收不等待派生 Worker。</w:t>
      </w:r>
    </w:p>
    <w:p>
      <w:pPr>
        <w:pStyle w:val="Heading2"/>
        <w:keepNext/>
      </w:pPr>
      <w:r>
        <w:t>12.3 不可变、删除和替代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events 行不更新。对错误归属或纠正内容，客户端创建新事件并设置 supersedes_event_id；查询当前投影时排除被替代版本。用户删除创建 event_tombstones，记录理由与时间并阻止同 event_id 重放。对象正文如未来启用，events 只保存 event_blobs 引用。</w:t>
      </w:r>
    </w:p>
    <w:p>
      <w:pPr>
        <w:pStyle w:val="Heading2"/>
        <w:keepNext/>
      </w:pPr>
      <w:r>
        <w:t>12.4 数据库索引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events 按 tenant + project + time、tenant + device + time、tenant + work_role + time 建立索引，AI 维度另有表达式/维度索引。分页接口必须使用时间和稳定 ID 组合，不允许浏览器一次加载全部历史 JSONB。</w:t>
      </w:r>
    </w:p>
    <w:p>
      <w:pPr>
        <w:pStyle w:val="Heading2"/>
        <w:keepNext/>
      </w:pPr>
      <w:r>
        <w:t>12.5 失败行为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失败类型</w:t>
            </w:r>
          </w:p>
        </w:tc>
        <w:tc>
          <w:tcPr>
            <w:tcW w:type="dxa" w:w="289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服务端响应</w:t>
            </w:r>
          </w:p>
        </w:tc>
        <w:tc>
          <w:tcPr>
            <w:tcW w:type="dxa" w:w="425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客户端行为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重复事件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duplicate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ack 并从待上传队列移除。</w:t>
            </w:r>
          </w:p>
        </w:tc>
      </w:tr>
      <w:tr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字段非法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rejected + 字段原因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进入本地 rejected，保留供 Lens 检查，不无限重试。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临时 5xx/网络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请求失败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保持 claimed 事件，退避后重试。</w:t>
            </w:r>
          </w:p>
        </w:tc>
      </w:tr>
      <w:tr>
        <w:tc>
          <w:tcPr>
            <w:tcW w:type="dxa" w:w="19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设备凭据失效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401/403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注册状态变为 credential_invalid，停止高频上传。</w:t>
            </w:r>
          </w:p>
        </w:tc>
      </w:tr>
      <w:tr>
        <w:tc>
          <w:tcPr>
            <w:tcW w:type="dxa" w:w="19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项目未授权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403/422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保留本地证据并提示项目授权，不绕过门禁。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13 章  事件清洗与事实层模块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说明如何在不修改原始事件的前提下进行命令合并、执行者归因、跨源去重、隔离和版本化重算。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Forge 清洗事实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Cleaning Worker + PostgreSQL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规则版本 v2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clean_event_facts / cleaning_jobs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 设计目标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清洗事实层解决 PSReadLine 拆行、AI 工具调用与终端历史重复、项目归属修正和残片误计数问题。它不删除原始证据，而是为同一组 source_event_ids 生成可审计的规范事实。</w:t>
      </w:r>
    </w:p>
    <w:p>
      <w:pPr>
        <w:pStyle w:val="Heading2"/>
        <w:keepNext/>
      </w:pPr>
      <w:r>
        <w:t>13.2 事实模型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9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180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fact_id + rule_version</w:t>
            </w:r>
          </w:p>
        </w:tc>
        <w:tc>
          <w:tcPr>
            <w:tcW w:type="dxa" w:w="618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稳定逻辑事实 ID和清洗规则版本组成主键，允许新旧版本并存。</w:t>
            </w:r>
          </w:p>
        </w:tc>
      </w:tr>
      <w:tr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fact_type / activity_type</w:t>
            </w:r>
          </w:p>
        </w:tc>
        <w:tc>
          <w:tcPr>
            <w:tcW w:type="dxa" w:w="618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ai_interaction、terminal_operation、activity、command_fragment；并映射 AI、终端、IDE、浏览器、版本控制、应用等活动类型。</w:t>
            </w:r>
          </w:p>
        </w:tc>
      </w:tr>
      <w:tr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actor_origin / message_role</w:t>
            </w:r>
          </w:p>
        </w:tc>
        <w:tc>
          <w:tcPr>
            <w:tcW w:type="dxa" w:w="618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human、ai、unknown；user、assistant、system、tool、unknown。</w:t>
            </w:r>
          </w:p>
        </w:tc>
      </w:tr>
      <w:tr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quality_state / confidence</w:t>
            </w:r>
          </w:p>
        </w:tc>
        <w:tc>
          <w:tcPr>
            <w:tcW w:type="dxa" w:w="618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accepted、merged、quarantined；high、medium、low。</w:t>
            </w:r>
          </w:p>
        </w:tc>
      </w:tr>
      <w:tr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reason_codes</w:t>
            </w:r>
          </w:p>
        </w:tc>
        <w:tc>
          <w:tcPr>
            <w:tcW w:type="dxa" w:w="618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explicit_backtick_join、orphan_parameter_join、automation_dynamic 等可解释原因。</w:t>
            </w:r>
          </w:p>
        </w:tc>
      </w:tr>
      <w:tr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source_event_ids / canonical_event_id</w:t>
            </w:r>
          </w:p>
        </w:tc>
        <w:tc>
          <w:tcPr>
            <w:tcW w:type="dxa" w:w="618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完整证据链和权威证据。</w:t>
            </w:r>
          </w:p>
        </w:tc>
      </w:tr>
      <w:tr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excluded_from_effectiveness</w:t>
            </w:r>
          </w:p>
        </w:tc>
        <w:tc>
          <w:tcPr>
            <w:tcW w:type="dxa" w:w="618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命令残片、待确认或策略排除事实不进入指标与 RAG。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命令清洗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Core 能获得物理行号和源偏移时先完成 PowerShell 逻辑组装；服务端继续处理历史启发式关联。像“-Recurse -Filter …”这样的参数开头记录被标记 orphan_parameter_fragment，并检查相邻设备、项目、采集顺序和时间窗口。只有拼接后满足 AST/规则完整性才生成 merged 事实。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7"/>
            <w:tcBorders>
              <w:top w:val="single" w:sz="4" w:color="CBD3D3"/>
              <w:left w:val="single" w:sz="4" w:color="CBD3D3"/>
              <w:bottom w:val="single" w:sz="4" w:color="CBD3D3"/>
              <w:right w:val="single" w:sz="4" w:color="CBD3D3"/>
              <w:insideH w:val="single" w:sz="4" w:color="CBD3D3"/>
              <w:insideV w:val="single" w:sz="4" w:color="CBD3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原始证据 A: Get-ChildItem "D:\Program Files (x86)\Windows Kits\10\build"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原始证据 B: -Recurse -Filter Microsoft.DriverKit.Build.Tasks.17.0.dll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规范事实: file.search / 递归查找文件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merge_method: inferred_parameter_join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source_event_ids: [A, B]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计数: 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13.4 AI 工具与终端去重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结构化 ai.tool_call 是权威命令证据。清洗 Worker 使用设备、项目、HMAC 和时间窗口匹配 PSReadLine；匹配后保留两条 events，但只生成一条可计数 terminal_operation，actor_origin=ai。PSReadLine 只作为补充执行证据，避免同一 AI 操作重复进入效能。</w:t>
      </w:r>
    </w:p>
    <w:p>
      <w:pPr>
        <w:pStyle w:val="Heading2"/>
        <w:keepNext/>
      </w:pPr>
      <w:r>
        <w:t>13.5 隐私规则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AI 执行命令只保留命令类型、安全摘要和设备内 HMAC，不保存或展示完整命令、参数、路径、环境变量和 tool arguments。人工/未知终端可以保存完整脱敏规范命令，但必须通过 DLP。设备 HMAC 密钥不上传，防止常见命令字典反查。</w:t>
      </w:r>
    </w:p>
    <w:p>
      <w:pPr>
        <w:pStyle w:val="Heading2"/>
        <w:keepNext/>
      </w:pPr>
      <w:r>
        <w:t>13.6 重算与数据质量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Cleaning Worker 按 tenant 和事件 ID 增量处理，并可按 1 至 90 天范围重算。任务保存处理、合并、隔离和失败数量。Admin Web 数据质量页按原因码、质量状态、设备、项目和日期分页展示，并允许从事实展开原始证据。新规则完成对账后才切换当前版本。</w:t>
      </w:r>
    </w:p>
    <w:p>
      <w:pPr>
        <w:pStyle w:val="Heading2"/>
        <w:keepNext/>
      </w:pPr>
      <w:r>
        <w:t>13.7 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反引号多行与倒序参数样本都形成一条规范事实。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无法可靠合并的残片进入 quarantined/command_fragment，不进入效能与 RAG。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AI tool 与终端匹配后 source_event_ids 同时保留，效能只计一次。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同一重算任务重试不产生重复事实；旧新 rule_version 可并存和回滚。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页面和 API 不出现完整 AI 命令、原始路径或设备 HMAC。</w:t>
      </w:r>
    </w:p>
    <w:p>
      <w:r>
        <w:br w:type="page"/>
      </w:r>
    </w:p>
    <w:p>
      <w:pPr>
        <w:pStyle w:val="Heading1"/>
        <w:keepNext/>
      </w:pPr>
      <w:r>
        <w:t>第 14 章  Work Episode 工作片段模块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描述如何把同一主体和逻辑项目的活动组织为可追溯、可修订的工作片段。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Forge 证据组织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Worker + PostgreSQL + 可选 Ollama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确定性基础已落地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Work Episode Admin / Local API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 产品形态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工作片段不是原始事件的替代，而是围绕一个目标组织的解释性投影。服务端生成租户授权范围内的管理投影；Core 根据本机近期缓存生成当前用户与当前设备的个人投影。两者使用相同证据约束，但独立计算。</w:t>
      </w:r>
    </w:p>
    <w:p>
      <w:pPr>
        <w:pStyle w:val="Heading2"/>
        <w:keepNext/>
      </w:pPr>
      <w:r>
        <w:t>14.2 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30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证据要求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work_episodes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项目、主体、设备、开始/结束、标题、目标、上下文、结果、置信度、revision。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片段自身引用参与事件。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actions</w:t>
            </w:r>
          </w:p>
        </w:tc>
        <w:tc>
          <w:tcPr>
            <w:tcW w:type="dxa" w:w="430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用户、AI、终端、IDE、Git、浏览器等安全动作摘要。</w:t>
            </w:r>
          </w:p>
        </w:tc>
        <w:tc>
          <w:tcPr>
            <w:tcW w:type="dxa" w:w="30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每个动作至少一个事件 ID。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decisions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明确作出的决策及依据。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缺少证据则不发布。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validations</w:t>
            </w:r>
          </w:p>
        </w:tc>
        <w:tc>
          <w:tcPr>
            <w:tcW w:type="dxa" w:w="430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测试、构建、静态分析、运行健康或用户确认。</w:t>
            </w:r>
          </w:p>
        </w:tc>
        <w:tc>
          <w:tcPr>
            <w:tcW w:type="dxa" w:w="30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发出命令本身不能证明成功。</w:t>
            </w:r>
          </w:p>
        </w:tc>
      </w:tr>
      <w:tr>
        <w:tc>
          <w:tcPr>
            <w:tcW w:type="dxa" w:w="170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next_actions</w:t>
            </w:r>
          </w:p>
        </w:tc>
        <w:tc>
          <w:tcPr>
            <w:tcW w:type="dxa" w:w="430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有明确证据支持的后续事项。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有序并保留来源。</w:t>
            </w:r>
          </w:p>
        </w:tc>
      </w:tr>
      <w:tr>
        <w:tc>
          <w:tcPr>
            <w:tcW w:type="dxa" w:w="170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evidence</w:t>
            </w:r>
          </w:p>
        </w:tc>
        <w:tc>
          <w:tcPr>
            <w:tcW w:type="dxa" w:w="430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section、item key、event ID、引用原因。</w:t>
            </w:r>
          </w:p>
        </w:tc>
        <w:tc>
          <w:tcPr>
            <w:tcW w:type="dxa" w:w="30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所有正式陈述可回到事件。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候选构建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按主体和逻辑项目分组，并保留明确 session_id 和 correlation_id。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相邻活动超过 30 分钟无信号时切分候选片段。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最早有效用户消息或显式任务作为目标候选。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AI 工具、终端、IDE、Git、浏览器和应用事实形成动作。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只有明确成功结果或验证事实才形成 validation；没有证据时保持 needs_review。</w:t>
      </w:r>
    </w:p>
    <w:p>
      <w:pPr>
        <w:pStyle w:val="Heading2"/>
        <w:keepNext/>
      </w:pPr>
      <w:r>
        <w:t>14.4 模型增强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Ollama 可在已经确定的证据集合上生成严格 JSON 摘要。返回中的每个目标、动作、决策、验证和结果必须引用输入 evidence ID；无效引用或结构错误被丢弃。模型不可用时保留确定性片段，不影响原始事件和其他派生任务。</w:t>
      </w:r>
    </w:p>
    <w:p>
      <w:pPr>
        <w:pStyle w:val="Heading2"/>
        <w:keepNext/>
      </w:pPr>
      <w:r>
        <w:t>14.5 修订与失效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事件替代、tombstone、项目重新分配、授权撤销或规则版本切换会使关联片段过期。重算写新 revision 并更新当前指针，历史 revision 保留。检索、效能和导出只使用当前有效投影。</w:t>
      </w:r>
    </w:p>
    <w:p>
      <w:r>
        <w:br w:type="page"/>
      </w:r>
    </w:p>
    <w:p>
      <w:pPr>
        <w:pStyle w:val="Heading1"/>
        <w:keepNext/>
      </w:pPr>
      <w:r>
        <w:t>第 15 章  个人效能模块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说明可解释个人指标的计算口径、聚合、权限、页面呈现和禁止性边界。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Pulse 个人工作模式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日聚合 + PostgreSQL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效能定义 v4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/api/v1/admin/effectiveness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定位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个人效能将清洗后的有效事实转换为工作节奏、活动构成、项目分布和覆盖度。它不把事件数量等同于生产力，不评价好坏，不提供跨员工排名、强制分位数、红黄绿绩效灯或综合总分。</w:t>
      </w:r>
    </w:p>
    <w:p>
      <w:pPr>
        <w:pStyle w:val="Heading2"/>
        <w:keepNext/>
      </w:pPr>
      <w:r>
        <w:t>15.2 时间与去重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所有 occurred_at 先转换为 Asia/Shanghai，再向下取整到五分钟桶。只有该桶内存在未排除的清洗事实才计 5 分钟；连续五分钟没有动作的桶不计。一个主体多设备在同一桶内只计一次；同一 AI tool 与终端双证据只按合并事实计一次；OCR 保底与专属适配器同桶时不重复增加活跃时间。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活跃时段口径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active_window_minutes = 有至少一个有效事实的不同五分钟桶数量 × 5。该数值表达活动信号覆盖，不是工时。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64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计算规则</w:t>
            </w:r>
          </w:p>
        </w:tc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解释限制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活跃天数</w:t>
            </w:r>
          </w:p>
        </w:tc>
        <w:tc>
          <w:tcPr>
            <w:tcW w:type="dxa" w:w="464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周期内至少有一个有效事实的自然日数。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不表示出勤。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活跃时段</w:t>
            </w:r>
          </w:p>
        </w:tc>
        <w:tc>
          <w:tcPr>
            <w:tcW w:type="dxa" w:w="464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主体全局去重的有效五分钟桶。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不等于工时、在线或加班。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工作会话</w:t>
            </w:r>
          </w:p>
        </w:tc>
        <w:tc>
          <w:tcPr>
            <w:tcW w:type="dxa" w:w="464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相邻有效事实间隔超过 30 分钟则新会话。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单事件会话按 5 分钟。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专注时段</w:t>
            </w:r>
          </w:p>
        </w:tc>
        <w:tc>
          <w:tcPr>
            <w:tcW w:type="dxa" w:w="464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同项目相邻桶间隔不超过 10 分钟，持续至少 25 分钟。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不判断主观专注程度。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上下文切换</w:t>
            </w:r>
          </w:p>
        </w:tc>
        <w:tc>
          <w:tcPr>
            <w:tcW w:type="dxa" w:w="464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同会话内相邻事实项目不同计一次。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高低都不自动解释为好坏。</w:t>
            </w:r>
          </w:p>
        </w:tc>
      </w:tr>
      <w:tr>
        <w:tc>
          <w:tcPr>
            <w:tcW w:type="dxa" w:w="158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活动构成</w:t>
            </w:r>
          </w:p>
        </w:tc>
        <w:tc>
          <w:tcPr>
            <w:tcW w:type="dxa" w:w="464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交付、AI、终端、IDE/编码、浏览器、应用、其他的确定性互斥分类。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各类事件数不能直接相加解释为工时。</w:t>
            </w:r>
          </w:p>
        </w:tc>
      </w:tr>
      <w:tr>
        <w:tc>
          <w:tcPr>
            <w:tcW w:type="dxa" w:w="158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覆盖度</w:t>
            </w:r>
          </w:p>
        </w:tc>
        <w:tc>
          <w:tcPr>
            <w:tcW w:type="dxa" w:w="464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covered_days / period_days，并返回来源、设备和最后事件。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低于 30% 提示数据不足。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聚合实现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subject_effectiveness_daily 保存主体、日期、时区、定义版本、各指标、项目/角色分布、来源计数、设备列表和代表性 evidence_event_ids。后台 Worker 每 5 分钟重算今天和昨天，修复晚到事件；管理员可提交最多 31 天的异步重算，查询最大 90 天。</w:t>
      </w:r>
    </w:p>
    <w:p>
      <w:pPr>
        <w:pStyle w:val="Heading2"/>
        <w:keepNext/>
      </w:pPr>
      <w:r>
        <w:t>15.5 趋势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API 同时读取当前周期和紧邻等长上一周期，输出绝对值、差值和百分比。上一周期为 0 时百分比为 null，不显示无限增长。趋势只陈述变化，例如“活跃时段增加 20%”，不自动表述为效能提高。</w:t>
      </w:r>
    </w:p>
    <w:p>
      <w:pPr>
        <w:pStyle w:val="Heading2"/>
        <w:keepNext/>
      </w:pPr>
      <w:r>
        <w:t>15.6 页面与模型总结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页面提供主体、7/30/90 天、项目筛选，展示 KPI、每日趋势、活动构成、项目/工作角色分布、口径和证据下钻。AI 总结默认不自动运行；用户触发后只发送聚合指标、覆盖度、趋势、项目/角色分布和口径，并固定显示“不作为绩效评价”。Ollama/Dify 不可用时基础页面完整可用。</w:t>
      </w:r>
    </w:p>
    <w:p>
      <w:pPr>
        <w:pStyle w:val="Heading2"/>
        <w:keepNext/>
      </w:pPr>
      <w:r>
        <w:t>15.7 权限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tenant_admin 可读取租户主体；member 只有通过 user_subject_links 显式绑定后才能读取本人；device_ingest 不能读取。analyst/reviewer 默认不授予完整个人效能，避免使用不完整项目范围产生误导结论。接口没有按效能指标排序参数。</w:t>
      </w:r>
    </w:p>
    <w:p>
      <w:r>
        <w:br w:type="page"/>
      </w:r>
    </w:p>
    <w:p>
      <w:pPr>
        <w:pStyle w:val="Heading1"/>
        <w:keepNext/>
      </w:pPr>
      <w:r>
        <w:t>第 16 章  Admin Web 管理后台模块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描述独立 React/Vite 前端的导航、页面、状态管理、API 边界与交付方式。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远程管理与分析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React + TypeScript + Vite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静态构建由 Go Server 托管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HttpOnly Cookie / CSRF / OpenAPI Types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交付与登录体验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Admin Web 是独立静态前端，开发时通过 npm run dev 和 API proxy 运行，生产 npm run build 后复制到 Go Server 的 web/admin 目录。访问根路径直接进入登录；登录成功进入主页面，右上角提供客户端下载。它不依赖 Go 模板渲染，可后续独立部署到 Nginx 或 CDN。</w:t>
      </w:r>
    </w:p>
    <w:p>
      <w:pPr>
        <w:pStyle w:val="Heading2"/>
        <w:keepNext/>
      </w:pPr>
      <w:r>
        <w:t>16.2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一级页面</w:t>
            </w:r>
          </w:p>
        </w:tc>
        <w:tc>
          <w:tcPr>
            <w:tcW w:type="dxa" w:w="7030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主要能力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总览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设备、主体、事件、健康、最近活动和模型状态摘要。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设备与角色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设备清单、主体关系、工作角色分配。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活动记录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统一展示 AI 协作、AI 工具、终端、IDE、浏览器、版本控制、应用和其他事实。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个人效能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解释性 KPI、趋势、构成、项目/角色分布、覆盖度和证据。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项目管理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逻辑项目、项目位置、冲突和安全显示名。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工作片段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目标、动作、验证、结果、revision 和证据。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智能查询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异步 RAG 查询、进度、直接答案、置信度和可展开引用。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采集覆盖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按设备展示适配器状态、阶段、延迟和安全错误码。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数据质量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清洗版本、合并、残片、隔离、原因码、证据链和重算。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浏览器采集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启用开关、域名白名单、revision 和隐私说明。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VS Code 集成</w:t>
            </w:r>
          </w:p>
        </w:tc>
        <w:tc>
          <w:tcPr>
            <w:tcW w:type="dxa" w:w="703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扩展组件状态、版本、协议与处理建议。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审计日志</w:t>
            </w:r>
          </w:p>
        </w:tc>
        <w:tc>
          <w:tcPr>
            <w:tcW w:type="dxa" w:w="703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管理写操作、资源、结果和时间。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活动记录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“AI 交互”和“事件”已合并为“活动记录”。页面调用分页聚合接口，不在浏览器加载全部 15,000 条以上历史。筛选包括日期、设备、项目、活动类型和消息角色；列表显示时间、类型、角色和安全摘要，详情抽屉显示脱敏内容、事实 ID、规范事件 ID和源证据。</w:t>
      </w:r>
    </w:p>
    <w:p>
      <w:pPr>
        <w:pStyle w:val="Heading2"/>
        <w:keepNext/>
      </w:pPr>
      <w:r>
        <w:t>16.4 交互状态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所有页面显式处理 loading、empty、unauthorized、server-error 和 retry 状态。耗时操作如清洗重算、效能重算和智能查询返回 job ID并显示进度，避免按钮无反馈或页面假死。详情抽屉文本采用可读颜色和可复制布局，不依赖选中高亮才能看清。</w:t>
      </w:r>
    </w:p>
    <w:p>
      <w:pPr>
        <w:pStyle w:val="Heading2"/>
        <w:keepNext/>
      </w:pPr>
      <w:r>
        <w:t>16.5 授权边界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前端可以根据当前权限隐藏入口并优化体验，但不能成为授权事实源。每个 API 仍由 Go Server 重新认证、授权和限定 tenant/project scope。前端不持有设备 token、模型网关 token、数据库凭据或服务器 root 凭据。</w:t>
      </w:r>
    </w:p>
    <w:p>
      <w:pPr>
        <w:pStyle w:val="Heading2"/>
        <w:keepNext/>
      </w:pPr>
      <w:r>
        <w:t>16.6 前端质量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TypeScript 类型来自 OpenAPI/共享类型，接口变化通过构建和测试暴露。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页面使用稳定网格和响应式约束，详情抽屉、表格和筛选在桌面与窄屏不重叠。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生产构建使用内容哈希资源，部署后检查 /admin/ 引用的新资源名称和缓存。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关键页面使用组件测试覆盖加载、空、错误、权限、分页和主要操作。</w:t>
      </w:r>
    </w:p>
    <w:p>
      <w:r>
        <w:br w:type="page"/>
      </w:r>
    </w:p>
    <w:p>
      <w:pPr>
        <w:pStyle w:val="Heading1"/>
        <w:keepNext/>
      </w:pPr>
      <w:r>
        <w:t>第 17 章  智能查询与 RAG 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描述本地 RAG 的索引边界、异步查询、模型生成、证据引用、项目公平性和回答契约。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Nexus 检索与回答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Retrieval + Qdrant + Model Gateway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生产运行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/api/v1/admin/rag/*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g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微软雅黑" w:hAnsi="微软雅黑" w:eastAsia="微软雅黑"/>
          <w:b w:val="0"/>
          <w:color w:val="526063"/>
          <w:sz w:val="17"/>
        </w:rPr>
        <w:t>图 17-1  智能查询异步处理流程</w:t>
      </w:r>
    </w:p>
    <w:p>
      <w:pPr>
        <w:pStyle w:val="Heading2"/>
        <w:keepNext/>
      </w:pPr>
      <w:r>
        <w:t>17.1 检索文档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RAG 只索引当前清洗规则版本中 quality_state 为 accepted/merged 且未排除效能的事实。用户消息、AI 工具、人工终端、Git、IDE、浏览器和应用活动可以作为向量锚点；AI 回复按同设备、同项目和时间邻域加入生成上下文，避免每条回复重复生成向量。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活动</w:t>
            </w:r>
          </w:p>
        </w:tc>
        <w:tc>
          <w:tcPr>
            <w:tcW w:type="dxa" w:w="408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索引内容</w:t>
            </w:r>
          </w:p>
        </w:tc>
        <w:tc>
          <w:tcPr>
            <w:tcW w:type="dxa" w:w="317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明确排除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AI 消息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已脱敏的用户/助手内容和安全项目标签。</w:t>
            </w:r>
          </w:p>
        </w:tc>
        <w:tc>
          <w:tcPr>
            <w:tcW w:type="dxa" w:w="317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未授权 cwd、凭据、系统内部字段。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AI 工具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工具名、命令类型和安全摘要。</w:t>
            </w:r>
          </w:p>
        </w:tc>
        <w:tc>
          <w:tcPr>
            <w:tcW w:type="dxa" w:w="317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完整命令、arguments、input、路径。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</w:t>
            </w:r>
          </w:p>
        </w:tc>
        <w:tc>
          <w:tcPr>
            <w:tcW w:type="dxa" w:w="408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人工/未知来源的完整脱敏规范命令。</w:t>
            </w:r>
          </w:p>
        </w:tc>
        <w:tc>
          <w:tcPr>
            <w:tcW w:type="dxa" w:w="317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命令残片、待确认 automation。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Git/IDE/浏览器/应用</w:t>
            </w:r>
          </w:p>
        </w:tc>
        <w:tc>
          <w:tcPr>
            <w:tcW w:type="dxa" w:w="408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确定性安全摘要和允许字段。</w:t>
            </w:r>
          </w:p>
        </w:tc>
        <w:tc>
          <w:tcPr>
            <w:tcW w:type="dxa" w:w="317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patch、源代码、截图、完整 OCR 原文。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存储分工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PostgreSQL 的 retrieval_documents 保存正文、权限维度、内容哈希、规则版本和索引状态；Qdrant collection aetheris_activities_v1 只保存 768 维向量和 tenant、document、device、project、activity_type、time 等最小 payload。检索命中后 Go Server 再回 PostgreSQL 做权限复核。</w:t>
      </w:r>
    </w:p>
    <w:p>
      <w:pPr>
        <w:pStyle w:val="Heading2"/>
        <w:keepNext/>
      </w:pPr>
      <w:r>
        <w:t>17.3 异步查询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POST 查询只验证问题和日期/设备/项目/活动类型范围，返回 202 与 query_id。后台状态依次为 queued、embedding、retrieving、generating、completed 或 failed；Admin Web 轮询并展示阶段。索引和查询共享查询优先门：当前索引批次完成后，交互查询独占模型资源。</w:t>
      </w:r>
    </w:p>
    <w:p>
      <w:pPr>
        <w:pStyle w:val="Heading2"/>
        <w:keepNext/>
      </w:pPr>
      <w:r>
        <w:t>17.4 回答模式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问题示例</w:t>
            </w:r>
          </w:p>
        </w:tc>
        <w:tc>
          <w:tcPr>
            <w:tcW w:type="dxa" w:w="481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主回答约束</w:t>
            </w:r>
          </w:p>
        </w:tc>
      </w:tr>
      <w:tr>
        <w:tc>
          <w:tcPr>
            <w:tcW w:type="dxa" w:w="141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direct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有没有、是否支持</w:t>
            </w:r>
          </w:p>
        </w:tc>
        <w:tc>
          <w:tcPr>
            <w:tcW w:type="dxa" w:w="481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一至两句，通常不超过 80 个中文字符。</w:t>
            </w:r>
          </w:p>
        </w:tc>
      </w:tr>
      <w:tr>
        <w:tc>
          <w:tcPr>
            <w:tcW w:type="dxa" w:w="141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numeric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多少、几次、多久</w:t>
            </w:r>
          </w:p>
        </w:tc>
        <w:tc>
          <w:tcPr>
            <w:tcW w:type="dxa" w:w="481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先给数值和单位，再给一句口径。</w:t>
            </w:r>
          </w:p>
        </w:tc>
      </w:tr>
      <w:tr>
        <w:tc>
          <w:tcPr>
            <w:tcW w:type="dxa" w:w="141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reason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为什么、根因是什么</w:t>
            </w:r>
          </w:p>
        </w:tc>
        <w:tc>
          <w:tcPr>
            <w:tcW w:type="dxa" w:w="481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最多三个直接原因。</w:t>
            </w:r>
          </w:p>
        </w:tc>
      </w:tr>
      <w:tr>
        <w:tc>
          <w:tcPr>
            <w:tcW w:type="dxa" w:w="141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procedure</w:t>
            </w:r>
          </w:p>
        </w:tc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如何做、步骤是什么</w:t>
            </w:r>
          </w:p>
        </w:tc>
        <w:tc>
          <w:tcPr>
            <w:tcW w:type="dxa" w:w="481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最多五个可执行步骤。</w:t>
            </w:r>
          </w:p>
        </w:tc>
      </w:tr>
      <w:tr>
        <w:tc>
          <w:tcPr>
            <w:tcW w:type="dxa" w:w="141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</w:t>
            </w:r>
          </w:p>
        </w:tc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详细说明、对比实现与证据</w:t>
            </w:r>
          </w:p>
        </w:tc>
        <w:tc>
          <w:tcPr>
            <w:tcW w:type="dxa" w:w="481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允许较长说明，但仍必须引用证据。</w:t>
            </w:r>
          </w:p>
        </w:tc>
      </w:tr>
    </w:tbl>
    <w:p>
      <w:pPr>
        <w:spacing w:after="0"/>
      </w:pP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模型返回严格 JSON：answer、answer_mode、confidence、details 和 citation_numbers。服务端验证模式、长度、内部技术细节词表和引用编号；非法结构最多带错误反馈重试一次，仍失败则生成确定性保底答案。</w:t>
      </w:r>
    </w:p>
    <w:p>
      <w:pPr>
        <w:pStyle w:val="Heading2"/>
        <w:keepNext/>
      </w:pPr>
      <w:r>
        <w:t>17.5 引用与证据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每个 citation 必须来自本次已授权检索结果，并包含 fact_id 或 event_id、项目、时间和安全摘要。页面默认只显示直接答案、置信度和引用数量；展开“查看依据”后显示证据卡片，并可打开活动详情。证据不足时明确回答“当前数据不足以确认”，不编造。</w:t>
      </w:r>
    </w:p>
    <w:p>
      <w:pPr>
        <w:pStyle w:val="Heading2"/>
        <w:keepNext/>
      </w:pPr>
      <w:r>
        <w:t>17.6 多项目公平性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查询过滤器会优先限定用户选择的项目。未选择项目时，检索仍按分数、时间和项目覆盖组装上下文，避免单个高频项目完全淹没其他项目。更重要的是，0.4.15 的客户端公平回填确保历史 Codex 会话真正进入服务端、清洗和索引；项目缺数据时先报告覆盖问题，而不是让模型用其他项目证据臆测。</w:t>
      </w:r>
    </w:p>
    <w:p>
      <w:pPr>
        <w:pStyle w:val="Heading2"/>
        <w:keepNext/>
      </w:pPr>
      <w:r>
        <w:t>17.7 运行参数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94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12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生产值</w:t>
            </w:r>
          </w:p>
        </w:tc>
      </w:tr>
      <w:tr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回答模型</w:t>
            </w:r>
          </w:p>
        </w:tc>
        <w:tc>
          <w:tcPr>
            <w:tcW w:type="dxa" w:w="612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qwen3:4b-instruct</w:t>
            </w:r>
          </w:p>
        </w:tc>
      </w:tr>
      <w:tr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Embedding 模型</w:t>
            </w:r>
          </w:p>
        </w:tc>
        <w:tc>
          <w:tcPr>
            <w:tcW w:type="dxa" w:w="612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embeddinggemma，768 维</w:t>
            </w:r>
          </w:p>
        </w:tc>
      </w:tr>
      <w:tr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向量库</w:t>
            </w:r>
          </w:p>
        </w:tc>
        <w:tc>
          <w:tcPr>
            <w:tcW w:type="dxa" w:w="612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Qdrant 1.19.1，Cosine，loopback</w:t>
            </w:r>
          </w:p>
        </w:tc>
      </w:tr>
      <w:tr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稳态索引批量</w:t>
            </w:r>
          </w:p>
        </w:tc>
        <w:tc>
          <w:tcPr>
            <w:tcW w:type="dxa" w:w="612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</w:tr>
      <w:tr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模型超时</w:t>
            </w:r>
          </w:p>
        </w:tc>
        <w:tc>
          <w:tcPr>
            <w:tcW w:type="dxa" w:w="612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与 Model Gateway 内部 300 秒</w:t>
            </w:r>
          </w:p>
        </w:tc>
      </w:tr>
      <w:tr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模型并发</w:t>
            </w:r>
          </w:p>
        </w:tc>
        <w:tc>
          <w:tcPr>
            <w:tcW w:type="dxa" w:w="612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 最大同时加载 2 个模型；查询优先。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18 章  Model Gateway 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 Python 模型适配层为何独立、如何对接 Ollama/Dify，以及输入输出与故障边界。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 Provider 抽象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独立 Python HTTP Service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 Ollama，Dify 可选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/internal/v1/generate /internal/v1/embed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采用 Python 的原因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模型生态、SDK 和文本处理在 Python 中成熟且变化快，因此 Ollama/Dify 适配独立实现为 Python 服务；稳定的认证、权限、事实、任务和引用仍留在 Go Server。这样既利用 Python 生态，又避免模型框架侵入核心业务和数据库。</w:t>
      </w:r>
    </w:p>
    <w:p>
      <w:pPr>
        <w:pStyle w:val="Heading2"/>
        <w:keepNext/>
      </w:pPr>
      <w:r>
        <w:t>18.2 模块边界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只监听 loopback 或明确配置的内网地址，并要求内部 Bearer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不连接 PostgreSQL、Qdrant 或 Windows Core，不拥有用户权限和检索范围。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只接收 Go Server 已经授权、脱敏和裁剪的最小输入。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统一处理 provider 选择、超时、重试、响应大小、结构化输出和错误码。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健康接口 /healthz 只表示网关进程；/readyz 同时验证默认 provider 和模型可用。</w:t>
      </w:r>
    </w:p>
    <w:p>
      <w:pPr>
        <w:pStyle w:val="Heading2"/>
        <w:keepNext/>
      </w:pPr>
      <w:r>
        <w:t>18.3 Provider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51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51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配置与约束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OllamaProvider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默认本地生成；个人效能总结、工作片段增强和 RAG 回答。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调用本机 /api/chat 或生成接口；默认 qwen3:4b-instruct。</w:t>
            </w:r>
          </w:p>
        </w:tc>
      </w:tr>
      <w:tr>
        <w:tc>
          <w:tcPr>
            <w:tcW w:type="dxa" w:w="204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 Embeddings</w:t>
            </w:r>
          </w:p>
        </w:tc>
        <w:tc>
          <w:tcPr>
            <w:tcW w:type="dxa" w:w="351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批量生成检索向量。</w:t>
            </w:r>
          </w:p>
        </w:tc>
        <w:tc>
          <w:tcPr>
            <w:tcW w:type="dxa" w:w="351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调用 /api/embed；模型 embeddinggemma；校验批量和维度。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DifyProvider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可选工作流或应用编排。</w:t>
            </w:r>
          </w:p>
        </w:tc>
        <w:tc>
          <w:tcPr>
            <w:tcW w:type="dxa" w:w="351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通过可配置 URL、API key 和 app/workflow ID；仍不拥有数据和引用。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18.4 生成合同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请求包含任务名、逻辑模型、最小 context、messages 和可选证据投影。响应必须通过任务对应的 JSON Schema；网关限制输入/输出大小，并将 provider、模型、耗时和稳定错误码返回 Go Server。原始 prompt 和 response 默认不写日志或 model_runs。</w:t>
      </w:r>
    </w:p>
    <w:p>
      <w:pPr>
        <w:pStyle w:val="Heading2"/>
        <w:keepNext/>
      </w:pPr>
      <w:r>
        <w:t>18.5 故障降级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Ollama 不可达、模型缺失、超时或返回非法结构时，网关返回不含敏感正文的错误。Go Server 根据任务选择降级：工作片段保留确定性结果，个人效能仍展示基础指标，RAG 任务失败或使用确定性答案；任何模型故障不影响 ingest。</w:t>
      </w:r>
    </w:p>
    <w:p>
      <w:r>
        <w:br w:type="page"/>
      </w:r>
    </w:p>
    <w:p>
      <w:pPr>
        <w:pStyle w:val="Heading1"/>
        <w:keepNext/>
      </w:pPr>
      <w:r>
        <w:t>第 19 章  数据存储与基础设施模块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说明 PostgreSQL、Qdrant、对象存储接口、本地 SQLite 与磁盘空间的职责和容量规划。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持久化与基础设施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 + Qdrant + SQLite + 接口化对象存储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生产运行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SQL / VectorIndex / BlobStore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19.1 存储分层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3969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保存内容</w:t>
            </w:r>
          </w:p>
        </w:tc>
        <w:tc>
          <w:tcPr>
            <w:tcW w:type="dxa" w:w="328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不保存内容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 SQLite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已脱敏待上传事件、checkpoint、项目注册、授权、适配器健康和有限缓存。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截图、明文 token、无限历史。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</w:t>
            </w:r>
          </w:p>
        </w:tc>
        <w:tc>
          <w:tcPr>
            <w:tcW w:type="dxa" w:w="39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身份、权限、不可变事件、清洗事实、派生投影、检索正文、任务、引用和审计。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未脱敏终端内容、模型文件。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Qdrant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活动文档向量和最小过滤 payload。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正文、权限事实、凭据。</w:t>
            </w:r>
          </w:p>
        </w:tc>
      </w:tr>
      <w:tr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对象存储接口</w:t>
            </w:r>
          </w:p>
        </w:tc>
        <w:tc>
          <w:tcPr>
            <w:tcW w:type="dxa" w:w="3969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未来大对象或导出内容引用。</w:t>
            </w:r>
          </w:p>
        </w:tc>
        <w:tc>
          <w:tcPr>
            <w:tcW w:type="dxa" w:w="328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首版不强制部署；events 不直接内嵌大对象。</w:t>
            </w:r>
          </w:p>
        </w:tc>
      </w:tr>
      <w:tr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 模型目录</w:t>
            </w:r>
          </w:p>
        </w:tc>
        <w:tc>
          <w:tcPr>
            <w:tcW w:type="dxa" w:w="3969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生成与 embedding 模型文件。</w:t>
            </w:r>
          </w:p>
        </w:tc>
        <w:tc>
          <w:tcPr>
            <w:tcW w:type="dxa" w:w="328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业务事件和用户权限。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PostgreSQL 设计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PostgreSQL 是生产唯一事务事实源。当前 migration 001 至 019 依次覆盖身份、角色、事件、审计/模型、个人效能、AI 维度、清洗事实、统一活动/RAG、supersession、浏览器策略、项目注册、项目归属、工作片段、适配器健康、设备维度、VS Code 组件状态、VS Code 效能、应用策略和结构化 RAG 答案。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所有租户表包含 tenant_id 并启用 RLS；业务 repository 必须显式传入 tenant scope。结构化列承载高频过滤和关联维度，JSONB 用于版本化或低频扩展字段，避免把所有查询都变成 JSONB 全表扫描。</w:t>
      </w:r>
    </w:p>
    <w:p>
      <w:pPr>
        <w:pStyle w:val="Heading2"/>
        <w:keepNext/>
      </w:pPr>
      <w:r>
        <w:t>19.3 Qdrant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Qdrant 独立于 PostgreSQL，符合向量索引接口化和 15 GB 规划。collection 使用 768 维 Cosine；tenant、device、project、activity_type 和时间建立 payload index。Qdrant 只监听 127.0.0.1:6333/6334，当前 Ubuntu 使用 1.19.1 musl 构建以避免 glibc 2.38 依赖。</w:t>
      </w:r>
    </w:p>
    <w:p>
      <w:pPr>
        <w:pStyle w:val="Heading2"/>
        <w:keepNext/>
      </w:pPr>
      <w:r>
        <w:t>19.4 容量规划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181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初始预算</w:t>
            </w:r>
          </w:p>
        </w:tc>
        <w:tc>
          <w:tcPr>
            <w:tcW w:type="dxa" w:w="4876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管理策略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</w:t>
            </w:r>
          </w:p>
        </w:tc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25 GB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索引与表增长监控，备份前检查余量。</w:t>
            </w:r>
          </w:p>
        </w:tc>
      </w:tr>
      <w:tr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对象存储</w:t>
            </w:r>
          </w:p>
        </w:tc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40 GB</w:t>
            </w:r>
          </w:p>
        </w:tc>
        <w:tc>
          <w:tcPr>
            <w:tcW w:type="dxa" w:w="487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尚未强依赖；按哈希和保留策略管理对象。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向量索引</w:t>
            </w:r>
          </w:p>
        </w:tc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15 GB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按 collection/model version 重建，不混用不同维度。</w:t>
            </w:r>
          </w:p>
        </w:tc>
      </w:tr>
      <w:tr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模型与 Dify 数据</w:t>
            </w:r>
          </w:p>
        </w:tc>
        <w:tc>
          <w:tcPr>
            <w:tcW w:type="dxa" w:w="181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10 GB</w:t>
            </w:r>
          </w:p>
        </w:tc>
        <w:tc>
          <w:tcPr>
            <w:tcW w:type="dxa" w:w="4876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模型清单受控，避免重复模型占用。</w:t>
            </w:r>
          </w:p>
        </w:tc>
      </w:tr>
      <w:tr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日志、备份及升级</w:t>
            </w:r>
          </w:p>
        </w:tc>
        <w:tc>
          <w:tcPr>
            <w:tcW w:type="dxa" w:w="181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10 GB</w:t>
            </w:r>
          </w:p>
        </w:tc>
        <w:tc>
          <w:tcPr>
            <w:tcW w:type="dxa" w:w="4876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日志轮转、14 天备份保留、版本备份及时清理。</w:t>
            </w:r>
          </w:p>
        </w:tc>
      </w:tr>
    </w:tbl>
    <w:p>
      <w:pPr>
        <w:spacing w:after="0"/>
      </w:pP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磁盘使用达到 80% 告警，达到 90% 停止非必要导入和历史重算；heartbeat、管理读取和基本 ingest 应优先保持可用。</w:t>
      </w:r>
    </w:p>
    <w:p>
      <w:pPr>
        <w:pStyle w:val="Heading2"/>
        <w:keepNext/>
      </w:pPr>
      <w:r>
        <w:t>19.5 接口化扩展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Go Server 通过 BlobStore 和 VectorIndex 接口依赖对象存储与向量库。禁用实现允许基础系统在没有可选依赖时启动；启用后健康检查和 ready 状态必须分别报告。更换 Qdrant 或接入 S3/MinIO 不改变 AetherisEvent 和 Admin API。</w:t>
      </w:r>
    </w:p>
    <w:p>
      <w:r>
        <w:br w:type="page"/>
      </w:r>
    </w:p>
    <w:p>
      <w:pPr>
        <w:pStyle w:val="Heading1"/>
        <w:keepNext/>
      </w:pPr>
      <w:r>
        <w:t>第 20 章  安全、隐私与数据治理模块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汇总终端、传输、服务端、模型和管理界面的安全控制与数据生命周期。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端到端治理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终端门禁 + TLS + RBAC/RLS + 审计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强制边界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DPAPI / DLP / Tombstone / Rule 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20.1 威胁面与信任边界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289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402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</w:t>
            </w:r>
          </w:p>
        </w:tc>
      </w:tr>
      <w:tr>
        <w:tc>
          <w:tcPr>
            <w:tcW w:type="dxa" w:w="215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用户态 Core ↔ LocalSystem Service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权限提升、命令注入、敏感内容进入服务</w:t>
            </w:r>
          </w:p>
        </w:tc>
        <w:tc>
          <w:tcPr>
            <w:tcW w:type="dxa" w:w="402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固定协议、PID/SID/Session 校验、无任意路径/参数。</w:t>
            </w:r>
          </w:p>
        </w:tc>
      </w:tr>
      <w:tr>
        <w:tc>
          <w:tcPr>
            <w:tcW w:type="dxa" w:w="215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 ↔ Go Server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设备冒充、重放、路径/凭据泄漏</w:t>
            </w:r>
          </w:p>
        </w:tc>
        <w:tc>
          <w:tcPr>
            <w:tcW w:type="dxa" w:w="402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 Token 哈希、事件 ID幂等、HTTPS、本地脱敏和项目授权。</w:t>
            </w:r>
          </w:p>
        </w:tc>
      </w:tr>
      <w:tr>
        <w:tc>
          <w:tcPr>
            <w:tcW w:type="dxa" w:w="215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Admin Web ↔ Go Server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会话劫持、CSRF、越权</w:t>
            </w:r>
          </w:p>
        </w:tc>
        <w:tc>
          <w:tcPr>
            <w:tcW w:type="dxa" w:w="402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HttpOnly/SameSite、CSRF、Authorizer、RLS、审计。</w:t>
            </w:r>
          </w:p>
        </w:tc>
      </w:tr>
      <w:tr>
        <w:tc>
          <w:tcPr>
            <w:tcW w:type="dxa" w:w="2154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 ↔ Model Gateway</w:t>
            </w:r>
          </w:p>
        </w:tc>
        <w:tc>
          <w:tcPr>
            <w:tcW w:type="dxa" w:w="289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模型看到过量数据、提示泄漏</w:t>
            </w:r>
          </w:p>
        </w:tc>
        <w:tc>
          <w:tcPr>
            <w:tcW w:type="dxa" w:w="402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内部 Token、最小投影、超时/大小限制、无数据库连接。</w:t>
            </w:r>
          </w:p>
        </w:tc>
      </w:tr>
      <w:tr>
        <w:tc>
          <w:tcPr>
            <w:tcW w:type="dxa" w:w="215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 ↔ Qdrant</w:t>
            </w:r>
          </w:p>
        </w:tc>
        <w:tc>
          <w:tcPr>
            <w:tcW w:type="dxa" w:w="289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跨租户检索、向量正文泄漏</w:t>
            </w:r>
          </w:p>
        </w:tc>
        <w:tc>
          <w:tcPr>
            <w:tcW w:type="dxa" w:w="402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强制 tenant filter、PostgreSQL 二次复核、Qdrant 无正文。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本地隐私门禁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进程必须已允许，项目必须已授权，适配器必须启用，才能形成内容事件。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浏览器只采集显式白名单域名的 Chrome/Edge 前台页面；非白名单甚至不进入 OCR。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截图只存在内存，OCR/DLP 后立即释放，不写 SQLite、日志或服务端。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源代码正文、完整 diff、剪贴板、按键、终端输出和第三方扩展私有数据不采集。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未知或高风险内容采取失败关闭：标记 needs_review 或阻止上传。</w:t>
      </w:r>
    </w:p>
    <w:p>
      <w:pPr>
        <w:pStyle w:val="Heading2"/>
        <w:keepNext/>
      </w:pPr>
      <w:r>
        <w:t>20.3 脱敏与 DLP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确定性规则识别 API key、Bearer token、私钥、密码、连接字符串、邮箱和用户目录等内容，替换为带类型占位符。content_hash 基于脱敏后的规范 JSON 计算；RedactionReport 只记录规则 ID和替换数量。OCR 原文先通过 DLP，高风险内容首期直接阻断。</w:t>
      </w:r>
    </w:p>
    <w:p>
      <w:pPr>
        <w:pStyle w:val="Heading2"/>
        <w:keepNext/>
      </w:pPr>
      <w:r>
        <w:t>20.4 凭据与密钥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凭据/密钥</w:t>
            </w:r>
          </w:p>
        </w:tc>
        <w:tc>
          <w:tcPr>
            <w:tcW w:type="dxa" w:w="294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保存位置</w:t>
            </w:r>
          </w:p>
        </w:tc>
        <w:tc>
          <w:tcPr>
            <w:tcW w:type="dxa" w:w="385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保护方式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Device Token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 device.credential / 服务端 token_hash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DPAPI CurrentUser + ACL；服务端不保存明文。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Local Control Credential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终端独立 credential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与设备 token 分离，用于 Lens 写操作和 CSRF。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项目身份密钥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 DPAPI 缓存 / 服务端配置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租户级和设备级用途分离，带版本。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命令指纹密钥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 DPAPI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随机设备内密钥，从不上传。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Model Gateway Token</w:t>
            </w:r>
          </w:p>
        </w:tc>
        <w:tc>
          <w:tcPr>
            <w:tcW w:type="dxa" w:w="294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服务器 0600 环境文件或 secret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仅内部服务使用，不进入前端和日志。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管理员密码</w:t>
            </w:r>
          </w:p>
        </w:tc>
        <w:tc>
          <w:tcPr>
            <w:tcW w:type="dxa" w:w="294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 密码哈希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与 Linux root 密码完全独立；重置撤销旧会话。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20.5 数据生命周期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原始事件作为不可变证据长期按保留策略保存；纠正产生替代事件，删除产生 tombstone。派生事实、项目归属、工作片段、效能和检索文档带规则/定义版本，可重算、对比和回滚。终端离线队列有 512 MB/7 天边界；高风险隔离默认最多 24 小时且不上传。</w:t>
      </w:r>
    </w:p>
    <w:p>
      <w:pPr>
        <w:pStyle w:val="Heading2"/>
        <w:keepNext/>
      </w:pPr>
      <w:r>
        <w:t>20.6 禁止性要求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C68A2B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/>
        </w:tc>
        <w:tc>
          <w:tcPr>
            <w:tcW w:type="dxa" w:w="4873"/>
            <w:shd w:fill="F8F0E2"/>
            <w:vAlign w:val="center"/>
            <w:tcBorders>
              <w:top w:val="single" w:sz="0" w:color="F8F0E2"/>
              <w:left w:val="single" w:sz="0" w:color="F8F0E2"/>
              <w:bottom w:val="single" w:sz="0" w:color="F8F0E2"/>
              <w:right w:val="single" w:sz="0" w:color="F8F0E2"/>
              <w:insideH w:val="single" w:sz="0" w:color="F8F0E2"/>
              <w:insideV w:val="single" w:sz="0" w:color="F8F0E2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C68A2B"/>
              </w:rPr>
              <w:t>明确禁止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不得存储真实 root 密码、设备 Token、完整 AI 命令、未脱敏 OCR、非白名单浏览器内容或源代码正文；不得用模型生成员工排名、黑盒评分或无证据的完成结论。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21 章  部署、运维、备份与升级模块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描述生产目录、systemd、自启动、健康检查、备份、升级、回滚和磁盘管理。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Linux 私有服务器运维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Ubuntu + systemd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192.168.78.138 /opt/aetheris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健康接口 / pg_dump / 版本备份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ployment-topolo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微软雅黑" w:hAnsi="微软雅黑" w:eastAsia="微软雅黑"/>
          <w:b w:val="0"/>
          <w:color w:val="526063"/>
          <w:sz w:val="17"/>
        </w:rPr>
        <w:t>图 21-1  生产服务器部署拓扑</w:t>
      </w:r>
    </w:p>
    <w:p>
      <w:pPr>
        <w:pStyle w:val="Heading2"/>
        <w:keepNext/>
      </w:pPr>
      <w:r>
        <w:t>21.1 生产目录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7"/>
            <w:tcBorders>
              <w:top w:val="single" w:sz="4" w:color="CBD3D3"/>
              <w:left w:val="single" w:sz="4" w:color="CBD3D3"/>
              <w:bottom w:val="single" w:sz="4" w:color="CBD3D3"/>
              <w:right w:val="single" w:sz="4" w:color="CBD3D3"/>
              <w:insideH w:val="single" w:sz="4" w:color="CBD3D3"/>
              <w:insideV w:val="single" w:sz="4" w:color="CBD3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>/opt/aetheris/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bin/                 aetheris-server, aetheris-migrate, aetheris-admin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web/admin/           React/Vite 静态构建产物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config/server.env    0600，服务凭据与运行参数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models/ollama/       Ollama 模型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vector/qdrant/       Qdrant 数据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backups/             PostgreSQL 与发布前备份</w:t>
            </w:r>
            <w:r>
              <w:br/>
            </w:r>
            <w:r>
              <w:rPr>
                <w:rFonts w:ascii="Consolas" w:hAnsi="Consolas" w:eastAsia="Consolas"/>
                <w:b w:val="0"/>
                <w:color w:val="203033"/>
                <w:sz w:val="16"/>
              </w:rPr>
              <w:t xml:space="preserve">  logs/                必要的文件日志；优先 journald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21.2 systemd 自启动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3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238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监听</w:t>
            </w:r>
          </w:p>
        </w:tc>
        <w:tc>
          <w:tcPr>
            <w:tcW w:type="dxa" w:w="385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启动策略</w:t>
            </w:r>
          </w:p>
        </w:tc>
      </w:tr>
      <w:tr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postgresql.service</w:t>
            </w:r>
          </w:p>
        </w:tc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127.0.0.1:5432 或受控地址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enabled，数据库先就绪。</w:t>
            </w:r>
          </w:p>
        </w:tc>
      </w:tr>
      <w:tr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aetheris-server.service</w:t>
            </w:r>
          </w:p>
        </w:tc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0.0.0.0:8080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enabled，依赖网络和 PostgreSQL。</w:t>
            </w:r>
          </w:p>
        </w:tc>
      </w:tr>
      <w:tr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aetheris-model-gateway.service</w:t>
            </w:r>
          </w:p>
        </w:tc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127.0.0.1:18081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enabled，模型网关。</w:t>
            </w:r>
          </w:p>
        </w:tc>
      </w:tr>
      <w:tr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ollama.service</w:t>
            </w:r>
          </w:p>
        </w:tc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127.0.0.1:11434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enabled，生成与 embedding。</w:t>
            </w:r>
          </w:p>
        </w:tc>
      </w:tr>
      <w:tr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qdrant.service</w:t>
            </w:r>
          </w:p>
        </w:tc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127.0.0.1:6333/6334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enabled，向量索引。</w:t>
            </w:r>
          </w:p>
        </w:tc>
      </w:tr>
      <w:tr>
        <w:tc>
          <w:tcPr>
            <w:tcW w:type="dxa" w:w="283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aetheris-gateway.service</w:t>
            </w:r>
          </w:p>
        </w:tc>
        <w:tc>
          <w:tcPr>
            <w:tcW w:type="dxa" w:w="238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旧 8080</w:t>
            </w:r>
          </w:p>
        </w:tc>
        <w:tc>
          <w:tcPr>
            <w:tcW w:type="dxa" w:w="385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disabled/inactive，已被 Go Server 替代。</w:t>
            </w:r>
          </w:p>
        </w:tc>
      </w:tr>
      <w:tr>
        <w:tc>
          <w:tcPr>
            <w:tcW w:type="dxa" w:w="283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aetheris-legacy-gateway.service</w:t>
            </w:r>
          </w:p>
        </w:tc>
        <w:tc>
          <w:tcPr>
            <w:tcW w:type="dxa" w:w="238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人工回滚</w:t>
            </w:r>
          </w:p>
        </w:tc>
        <w:tc>
          <w:tcPr>
            <w:tcW w:type="dxa" w:w="385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disabled，禁止随系统启动。</w:t>
            </w:r>
          </w:p>
        </w:tc>
      </w:tr>
    </w:tbl>
    <w:p>
      <w:pPr>
        <w:spacing w:after="0"/>
      </w:pP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服务器重启后不能只检查进程存在；必须同时检查 is-enabled、is-active、监听端口、/healthz 或 /readyz、pg_isready 以及本次 boot 的 error 日志。</w:t>
      </w:r>
    </w:p>
    <w:p>
      <w:pPr>
        <w:pStyle w:val="Heading2"/>
        <w:keepNext/>
      </w:pPr>
      <w:r>
        <w:t>21.3 部署流程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只读检查磁盘、目录、现有服务、数据库和监听端口。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生成发布包和校验值，上传到 staging，不直接覆盖运行目录。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备份 PostgreSQL、当前二进制、Admin Web、环境文件权限和客户端安装包。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执行 aetheris-migrate；迁移只增量添加或兼容扩展。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原子切换 Go Server 与 Admin Web，重启相关 unit。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验证健康、登录、客户端下载、设备 heartbeat、事件 ingest、Qdrant 和 Model Gateway ready。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</w:rPr>
        <w:t>观察后台任务与日志，再清理过期 staging；保留明确回滚版本。</w:t>
      </w:r>
    </w:p>
    <w:p>
      <w:pPr>
        <w:pStyle w:val="Heading2"/>
        <w:keepNext/>
      </w:pPr>
      <w:r>
        <w:t>21.4 备份与恢复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deploy/backup-postgres.sh 使用 pg_dump custom format，默认保留 14 天。恢复前停止写入并确认目标数据库；恢复后执行 migration 版本检查、RLS/索引校验、/healthz 和业务抽样。Qdrant 可由 PostgreSQL retrieval_documents 和 embedding 模型版本重建，因此不能替代 PostgreSQL 备份。</w:t>
      </w:r>
    </w:p>
    <w:p>
      <w:pPr>
        <w:pStyle w:val="Heading2"/>
        <w:keepNext/>
      </w:pPr>
      <w:r>
        <w:t>21.5 升级与回滚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服务端升级保留上一二进制、web/admin 和配置备份；数据库 migration 必须向前兼容旧二进制的读取窗口，或提供明确回滚路径。新规则和模型索引先并行生成，验收后切换版本指针。客户端默认下载始终指向一个已验收的 Setup，版本化文件和 SHA-256 留存用于回滚。</w:t>
      </w:r>
    </w:p>
    <w:p>
      <w:pPr>
        <w:pStyle w:val="Heading2"/>
        <w:keepNext/>
      </w:pPr>
      <w:r>
        <w:t>21.6 凭据运维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生产密码、Token 和密钥只通过 0600 环境文件、SSH agent 或 secret 机制注入，不写入代码、普通文档、测试和日志。管理员密码重置使用专用 aetheris-admin 命令并撤销旧会话；Linux root 凭据与应用管理员账号无任何关联。</w:t>
      </w:r>
    </w:p>
    <w:p>
      <w:r>
        <w:br w:type="page"/>
      </w:r>
    </w:p>
    <w:p>
      <w:pPr>
        <w:pStyle w:val="Heading1"/>
        <w:keepNext/>
      </w:pPr>
      <w:r>
        <w:t>第 22 章  可观测性、测试与验收模块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8957"/>
      </w:tblGrid>
      <w:tr>
        <w:tc>
          <w:tcPr>
            <w:tcW w:type="dxa" w:w="4873"/>
            <w:shd w:fill="176B68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/>
        </w:tc>
        <w:tc>
          <w:tcPr>
            <w:tcW w:type="dxa" w:w="4873"/>
            <w:shd w:fill="E7F2F0"/>
            <w:vAlign w:val="center"/>
            <w:tcBorders>
              <w:top w:val="single" w:sz="0" w:color="E7F2F0"/>
              <w:left w:val="single" w:sz="0" w:color="E7F2F0"/>
              <w:bottom w:val="single" w:sz="0" w:color="E7F2F0"/>
              <w:right w:val="single" w:sz="0" w:color="E7F2F0"/>
              <w:insideH w:val="single" w:sz="0" w:color="E7F2F0"/>
              <w:insideV w:val="single" w:sz="0" w:color="E7F2F0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76B68"/>
              </w:rPr>
              <w:t>本章目标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03033"/>
              </w:rPr>
              <w:t>定义运行指标、日志边界、自动化测试、真实环境验收和发布门禁。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责任边界</w:t>
            </w:r>
          </w:p>
        </w:tc>
        <w:tc>
          <w:tcPr>
            <w:tcW w:type="dxa" w:w="1984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运行形态</w:t>
            </w:r>
          </w:p>
        </w:tc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主要接口</w:t>
            </w:r>
          </w:p>
        </w:tc>
      </w:tr>
      <w:tr>
        <w:tc>
          <w:tcPr>
            <w:tcW w:type="dxa" w:w="204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质量与运行保障</w:t>
            </w:r>
          </w:p>
        </w:tc>
        <w:tc>
          <w:tcPr>
            <w:tcW w:type="dxa" w:w="1984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本地状态 + 服务指标 + 自动化/实机测试</w:t>
            </w:r>
          </w:p>
        </w:tc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持续执行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Health / Adapter Health / Jobs / 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22.1 可观测性分层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252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观测内容</w:t>
            </w:r>
          </w:p>
        </w:tc>
        <w:tc>
          <w:tcPr>
            <w:tcW w:type="dxa" w:w="306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禁止内容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Service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版本、SessionId、Core PID、退出码、恢复次数、稳定错误码。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用户名、完整 SID、命令行、配置、token、项目路径。</w:t>
            </w:r>
          </w:p>
        </w:tc>
      </w:tr>
      <w:tr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Core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注册/采集/队列状态、适配器健康、事件 ID、计数和耗时。</w:t>
            </w:r>
          </w:p>
        </w:tc>
        <w:tc>
          <w:tcPr>
            <w:tcW w:type="dxa" w:w="30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命令正文、OCR 文本、URL、payload、凭据。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request ID、状态码、延迟、Worker backlog、job ID、规则版本、数量。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事件 payload、模型 prompt/response、密码。</w:t>
            </w:r>
          </w:p>
        </w:tc>
      </w:tr>
      <w:tr>
        <w:tc>
          <w:tcPr>
            <w:tcW w:type="dxa" w:w="175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Model/RAG</w:t>
            </w:r>
          </w:p>
        </w:tc>
        <w:tc>
          <w:tcPr>
            <w:tcW w:type="dxa" w:w="4252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provider readiness、模型、耗时、阶段、索引 pending/failed、引用数量。</w:t>
            </w:r>
          </w:p>
        </w:tc>
        <w:tc>
          <w:tcPr>
            <w:tcW w:type="dxa" w:w="306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未授权正文、内部 token。</w:t>
            </w:r>
          </w:p>
        </w:tc>
      </w:tr>
      <w:tr>
        <w:tc>
          <w:tcPr>
            <w:tcW w:type="dxa" w:w="175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Admin Web</w:t>
            </w:r>
          </w:p>
        </w:tc>
        <w:tc>
          <w:tcPr>
            <w:tcW w:type="dxa" w:w="4252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加载、空、权限、错误和 job 进度。</w:t>
            </w:r>
          </w:p>
        </w:tc>
        <w:tc>
          <w:tcPr>
            <w:tcW w:type="dxa" w:w="306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服务端堆栈和敏感配置。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22.2 核心健康检查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检查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GET /healthz；数据库连接、迁移版本和基础依赖。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Model Gateway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/healthz 检查进程；/readyz 检查 Ollama 与默认模型。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/api/tags 和 systemctl is-active。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Qdrant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/readyz、collection 维度、points_count 与 payload indexes。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pg_isready、连接池 ping、RLS/迁移检查。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 ready、heartbeat、队列、适配器快照和服务端设备可见。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22.3 测试金字塔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Python 单元测试：项目扫描、身份、DPAPI、命令清洗、适配器、队列、Lens 和 Core 状态机。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Go 单元/集成测试：认证、授权、事件校验、SQL repository、清洗、项目归属、工作片段、效能、Qdrant 和结构化答案。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React 测试：登录、导航、加载/空/错误、活动详情、角色分配、效能、数据质量、RAG、策略和采集覆盖。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原生 C++ 测试：SCM、会话启动、IPC ACL、恢复、Provisioning、项目扫描和 NSIS 插件。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契约测试：OpenAPI、JSON Schema、VS Code 命名管道、Service IPC 和 Model Gateway 协议。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端到端测试：真实 Windows 安装、真实 VS Code、真实 Git/SVN/AI 历史、断网恢复、服务端部署和页面点击。</w:t>
      </w:r>
    </w:p>
    <w:p>
      <w:pPr>
        <w:pStyle w:val="Heading2"/>
        <w:keepNext/>
      </w:pPr>
      <w:r>
        <w:t>22.4 发布门禁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7200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通过条件</w:t>
            </w:r>
          </w:p>
        </w:tc>
      </w:tr>
      <w:tr>
        <w:tc>
          <w:tcPr>
            <w:tcW w:type="dxa" w:w="187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构建</w:t>
            </w:r>
          </w:p>
        </w:tc>
        <w:tc>
          <w:tcPr>
            <w:tcW w:type="dxa" w:w="720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Setup/Core/Service/VSIX/Go/Admin Web/Model Gateway 均成功，版本和校验值一致。</w:t>
            </w:r>
          </w:p>
        </w:tc>
      </w:tr>
      <w:tr>
        <w:tc>
          <w:tcPr>
            <w:tcW w:type="dxa" w:w="187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隐私扫描</w:t>
            </w:r>
          </w:p>
        </w:tc>
        <w:tc>
          <w:tcPr>
            <w:tcW w:type="dxa" w:w="720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产物、日志、请求和数据库中不存在明文凭据、未授权路径、完整 AI 命令、截图和代码正文。</w:t>
            </w:r>
          </w:p>
        </w:tc>
      </w:tr>
      <w:tr>
        <w:tc>
          <w:tcPr>
            <w:tcW w:type="dxa" w:w="187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数据一致性</w:t>
            </w:r>
          </w:p>
        </w:tc>
        <w:tc>
          <w:tcPr>
            <w:tcW w:type="dxa" w:w="720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原始事件、事实、合并、排除、项目归属、检索文档和 Qdrant points 可对账。</w:t>
            </w:r>
          </w:p>
        </w:tc>
      </w:tr>
      <w:tr>
        <w:tc>
          <w:tcPr>
            <w:tcW w:type="dxa" w:w="187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权限</w:t>
            </w:r>
          </w:p>
        </w:tc>
        <w:tc>
          <w:tcPr>
            <w:tcW w:type="dxa" w:w="720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跨租户、跨主体、跨项目、member 越权和 device_ingest 读取均被拒绝。</w:t>
            </w:r>
          </w:p>
        </w:tc>
      </w:tr>
      <w:tr>
        <w:tc>
          <w:tcPr>
            <w:tcW w:type="dxa" w:w="1871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恢复</w:t>
            </w:r>
          </w:p>
        </w:tc>
        <w:tc>
          <w:tcPr>
            <w:tcW w:type="dxa" w:w="7200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网络恢复、Core 崩溃、服务器重启、Worker 重跑、规则回滚和部署回滚通过。</w:t>
            </w:r>
          </w:p>
        </w:tc>
      </w:tr>
      <w:tr>
        <w:tc>
          <w:tcPr>
            <w:tcW w:type="dxa" w:w="1871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体验</w:t>
            </w:r>
          </w:p>
        </w:tc>
        <w:tc>
          <w:tcPr>
            <w:tcW w:type="dxa" w:w="7200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登录直达、主页面、客户端下载、活动详情、异步进度和空/错状态可用。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22.5 产品级验收矩阵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9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97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端到端结果</w:t>
            </w:r>
          </w:p>
        </w:tc>
      </w:tr>
      <w:tr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新终端安装</w:t>
            </w:r>
          </w:p>
        </w:tc>
        <w:tc>
          <w:tcPr>
            <w:tcW w:type="dxa" w:w="697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用户选目录和项目 → enrollment → heartbeat → 服务 Running → Admin 设备可见。</w:t>
            </w:r>
          </w:p>
        </w:tc>
      </w:tr>
      <w:tr>
        <w:tc>
          <w:tcPr>
            <w:tcW w:type="dxa" w:w="209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多项目 AI 历史</w:t>
            </w:r>
          </w:p>
        </w:tc>
        <w:tc>
          <w:tcPr>
            <w:tcW w:type="dxa" w:w="697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公平回填覆盖全部会话文件 → 清洗 → 项目归属 → 索引 → 查询可引用目标项目。</w:t>
            </w:r>
          </w:p>
        </w:tc>
      </w:tr>
      <w:tr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拆分命令</w:t>
            </w:r>
          </w:p>
        </w:tc>
        <w:tc>
          <w:tcPr>
            <w:tcW w:type="dxa" w:w="697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两条原始证据保留 → 一条 merged 事实 → 效能计数一次 → 数据质量可展开原因。</w:t>
            </w:r>
          </w:p>
        </w:tc>
      </w:tr>
      <w:tr>
        <w:tc>
          <w:tcPr>
            <w:tcW w:type="dxa" w:w="209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浏览器活动</w:t>
            </w:r>
          </w:p>
        </w:tc>
        <w:tc>
          <w:tcPr>
            <w:tcW w:type="dxa" w:w="697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策略启用 + 白名单 + Chrome/Edge 前台 → OCR/DLP → browser.page_view → 活动/效能/RAG。</w:t>
            </w:r>
          </w:p>
        </w:tc>
      </w:tr>
      <w:tr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五分钟无动作</w:t>
            </w:r>
          </w:p>
        </w:tc>
        <w:tc>
          <w:tcPr>
            <w:tcW w:type="dxa" w:w="697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没有有效事实的桶不计 active_window_minutes；多设备同桶只计一次。</w:t>
            </w:r>
          </w:p>
        </w:tc>
      </w:tr>
      <w:tr>
        <w:tc>
          <w:tcPr>
            <w:tcW w:type="dxa" w:w="209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服务器重启</w:t>
            </w:r>
          </w:p>
        </w:tc>
        <w:tc>
          <w:tcPr>
            <w:tcW w:type="dxa" w:w="697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五个正式 unit 自启动，旧 Gateway 不启动，健康与监听全部恢复。</w:t>
            </w:r>
          </w:p>
        </w:tc>
      </w:tr>
      <w:tr>
        <w:tc>
          <w:tcPr>
            <w:tcW w:type="dxa" w:w="209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模型不可用</w:t>
            </w:r>
          </w:p>
        </w:tc>
        <w:tc>
          <w:tcPr>
            <w:tcW w:type="dxa" w:w="697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事件和基础页面正常；Episode 使用确定性结果，效能无 AI 总结，查询给出明确失败或降级。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  主要接口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下表列出当前产品的核心接口。具体字段、状态码和 Schema 以 contracts/openapi.yaml 与 schemas/aetheris-event-v1.schema.json 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范围</w:t>
            </w:r>
          </w:p>
        </w:tc>
        <w:tc>
          <w:tcPr>
            <w:tcW w:type="dxa" w:w="4195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方法与路径</w:t>
            </w:r>
          </w:p>
        </w:tc>
        <w:tc>
          <w:tcPr>
            <w:tcW w:type="dxa" w:w="362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/api/v1/device/bootstrap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用 enrollment code 签发 Device Token。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/api/v1/device/heartbeat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在线状态、服务端事件代际和工作角色投影。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/api/v1/device/browser-policy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拉取浏览器采集策略。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/api/v1/device/project-identity-key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获取版本化租户项目身份密钥。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PUT/POST /api/v1/device/projects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幂等注册项目位置。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/api/v1/device/adapter-health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上报安全健康快照。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采集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/api/v1/ingest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批量接收不可变 AetherisEvent。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认证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/api/v1/auth/login|refresh|logout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管理员会话。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管理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/api/v1/admin/devices|subjects|work-roles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设备、主体和工作角色。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管理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PUT /api/v1/admin/work-role-assignments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分配工作角色。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活动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/api/v1/admin/activities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统一活动聚合与分页。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数据质量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/api/v1/admin/data-quality/summary|facts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清洗统计和证据链。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数据质量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/api/v1/admin/data-quality/recompute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异步清洗重算。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效能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/api/v1/admin/effectiveness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个人效能周期结果。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效能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/api/v1/admin/effectiveness/recompute|summary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重算或生成可选总结。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项目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/api/v1/admin/projects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逻辑项目和位置。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工作片段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/api/v1/admin/work-episodes[/{id}]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片段列表、revision 和证据。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采集覆盖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/api/v1/admin/adapter-health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设备适配器健康。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策略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GET/PUT /api/v1/admin/browser-policy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浏览器域名白名单。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RAG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/api/v1/admin/rag/status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索引与向量状态。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RAG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/api/v1/admin/rag/queries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创建异步查询。</w:t>
            </w:r>
          </w:p>
        </w:tc>
      </w:tr>
      <w:tr>
        <w:tc>
          <w:tcPr>
            <w:tcW w:type="dxa" w:w="1247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RAG</w:t>
            </w:r>
          </w:p>
        </w:tc>
        <w:tc>
          <w:tcPr>
            <w:tcW w:type="dxa" w:w="4195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GET /api/v1/admin/rag/queries/{id}</w:t>
            </w:r>
          </w:p>
        </w:tc>
        <w:tc>
          <w:tcPr>
            <w:tcW w:type="dxa" w:w="362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读取进度、答案和引用。</w:t>
            </w:r>
          </w:p>
        </w:tc>
      </w:tr>
      <w:tr>
        <w:tc>
          <w:tcPr>
            <w:tcW w:type="dxa" w:w="1247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内部模型</w:t>
            </w:r>
          </w:p>
        </w:tc>
        <w:tc>
          <w:tcPr>
            <w:tcW w:type="dxa" w:w="4195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POST /internal/v1/generate|embed</w:t>
            </w:r>
          </w:p>
        </w:tc>
        <w:tc>
          <w:tcPr>
            <w:tcW w:type="dxa" w:w="362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5"/>
              </w:rPr>
              <w:t>结构化生成和批量向量。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B  核心数据表与事件类型</w:t>
      </w:r>
    </w:p>
    <w:p>
      <w:pPr>
        <w:pStyle w:val="Heading2"/>
        <w:keepNext/>
      </w:pPr>
      <w:r>
        <w:t>B.1 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身份与权限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tenants、users、subjects、devices、device_credentials、memberships、permissions、api_sessions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角色与项目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work_roles、work_role_assignments、logical_projects、project_locations、project_attributions、project_backfill_jobs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事件与审计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events、event_tombstones、event_blobs、event_embeddings、audit_logs、model_runs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清洗与活动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clean_event_facts、cleaning_jobs、adapter_health_snapshots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工作片段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work_episodes、work_episode_actions、decisions、validations、next_actions、evidence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个人效能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subject_effectiveness_daily、effectiveness_recompute_jobs、user_subject_links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检索与查询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retrieval_documents、retrieval_query_jobs；向量位于 Qdrant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策略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browser_capture_policies、application_capture_policies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B.2 代表性事件类型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活动域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事件类型示例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版本控制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git.commit、git.diff、svn.activity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终端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terminal.command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AI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ai.session、ai.message、ai.tool_call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IDE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ide.activity、ide.file_opened、ide.file_edited、ide.file_saved、ide.file_closed、ide.workspace_changed、ide.extension_changed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Visual Studio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visualstudio.activity、构建/调试/测试相关安全事件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browser.page_view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通用应用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application.activity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设备与诊断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process.observed、适配器健康通过独立接口上报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C  术语与实现基线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定义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Core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当前用户会话中的采集、脱敏、队列和托盘运行时。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Lens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只在本机回环地址提供的状态、授权和证据控制面。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Forge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清洗事实、项目归属和工作片段处理能力。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Nexus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检索、引用、智能查询和模型编排能力。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Pulse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不含排名与黑盒总分的可解释个人工作模式分析。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原始事件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 ingest 保存且不可修改的 AetherisEvent。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清洗事实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由一个或多个原始事件派生、带规则版本和原因码的规范事实。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工作片段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围绕项目和目标组织的有证据活动投影。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Enrollment code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管理员提供的一次性设备注册密钥，不是 Device Token。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逻辑项目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跨设备和克隆目录的安全稳定项目身份。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活跃时段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存在有效活动事实的不同五分钟桶数量乘以五，不等于工时。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C.1 当前实现基线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03"/>
            <w:shd w:fill="176B68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基线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客户端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Aetheris Setup/Core 0.4.15；原生 Windows Service；Local Lens 优先端口 15473。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Go Server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PostgreSQL 14；migration 001-019；对外 8080。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清洗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规则版本 2；原始事件不可变。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个人效能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定义版本 4；时区 Asia/Shanghai。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RAG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Qdrant 1.19.1；aetheris_activities_v1；embeddinggemma 768 维。</w:t>
            </w:r>
          </w:p>
        </w:tc>
      </w:tr>
      <w:tr>
        <w:tc>
          <w:tcPr>
            <w:tcW w:type="dxa" w:w="2268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生成模型</w:t>
            </w:r>
          </w:p>
        </w:tc>
        <w:tc>
          <w:tcPr>
            <w:tcW w:type="dxa" w:w="6803"/>
            <w:shd w:fill="F8FAFA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Ollama qwen3:4b-instruct；Dify 可选。</w:t>
            </w:r>
          </w:p>
        </w:tc>
      </w:tr>
      <w:tr>
        <w:tc>
          <w:tcPr>
            <w:tcW w:type="dxa" w:w="2268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生产目录</w:t>
            </w:r>
          </w:p>
        </w:tc>
        <w:tc>
          <w:tcPr>
            <w:tcW w:type="dxa" w:w="6803"/>
            <w:tcBorders>
              <w:top w:val="single" w:sz="4" w:color="D9E0E0"/>
              <w:left w:val="single" w:sz="4" w:color="D9E0E0"/>
              <w:bottom w:val="single" w:sz="4" w:color="D9E0E0"/>
              <w:right w:val="single" w:sz="4" w:color="D9E0E0"/>
              <w:insideH w:val="single" w:sz="4" w:color="D9E0E0"/>
              <w:insideV w:val="single" w:sz="4" w:color="D9E0E0"/>
            </w:tcBorders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6"/>
              </w:rPr>
              <w:t>/opt/aetheris；PostgreSQL、Go Server、Model Gateway、Ollama、Qdrant 由 systemd 自启动。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设计来源</w:t>
      </w:r>
    </w:p>
    <w:p>
      <w:pPr>
        <w:spacing w:after="100" w:line="300" w:lineRule="auto"/>
        <w:keepLines/>
      </w:pPr>
      <w:r>
        <w:rPr>
          <w:rFonts w:ascii="微软雅黑" w:hAnsi="微软雅黑" w:eastAsia="微软雅黑"/>
          <w:b w:val="0"/>
        </w:rPr>
        <w:t>本文档由当前代码结构、OpenAPI 合同、PostgreSQL migrations、中文设计规格和运维实施记录汇总而成。发生冲突时，优先级为：已部署实现与自动化测试 → 当前接口契约和 migration → 最新实施记录 → 早期设计规格。后续版本应同步更新本说明书的产品基线和修订记录。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26063"/>
        <w:sz w:val="16"/>
      </w:rPr>
      <w:t>Aetheris 产品设计与实现说明书  |  基线 0.4.15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color w:val="203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56A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spacing w:after="160"/>
      <w:jc w:val="center"/>
    </w:pPr>
    <w:rPr>
      <w:rFonts w:ascii="微软雅黑" w:hAnsi="微软雅黑" w:eastAsia="微软雅黑"/>
      <w:i/>
      <w:color w:val="5260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