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Desafio (27/03)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Primeiro é necessário iniciar o processo com o comando “git init”;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Logo após usa o comando “git add.” para indicar que todo o projeto deve ser subido;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próxima etapa é o comando “git commit -m ‘nomear o que foi feito’”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Depois o comando “git </w:t>
      </w:r>
      <w:r w:rsidDel="00000000" w:rsidR="00000000" w:rsidRPr="00000000">
        <w:rPr>
          <w:rtl w:val="0"/>
        </w:rPr>
        <w:t xml:space="preserve">remote add origin </w:t>
      </w:r>
      <w:hyperlink r:id="rId6">
        <w:r w:rsidDel="00000000" w:rsidR="00000000" w:rsidRPr="00000000">
          <w:rPr>
            <w:color w:val="1155cc"/>
            <w:u w:val="single"/>
            <w:rtl w:val="0"/>
          </w:rPr>
          <w:t xml:space="preserve">https://github.com/…</w:t>
        </w:r>
      </w:hyperlink>
      <w:r w:rsidDel="00000000" w:rsidR="00000000" w:rsidRPr="00000000">
        <w:rPr>
          <w:rtl w:val="0"/>
        </w:rPr>
        <w:t xml:space="preserve">” para linkar com o repositório criado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E por último subir o projeto para o repositório com o “git push -u origin main”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2- Porque as tomadas de decisões ficam muito mais precisas, ganhando tempo, objetividade e satisfação.</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3- Geralmente ocorre no processo de comunicação desses dados como uma forma de traduzir o que aquelas informações querem dizer para os demais da empresa.</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4- Os quantitativos são aqueles que podem ser medidos numericamente já os qualitativos são informações descritivas ou subjetivas.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5- Aprendi que trabalhar com os dados vai muito além do que se imagina, pois traz diversas vantagens para uma empresa tanto na parte de comunicação quanto na parte de tomadas de decisões e que existem vários tipos de dados cada um com sua característica.</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E2%80%A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