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Calibri" w:hAnsi="Calibri"/>
          <w:b/>
          <w:color w:val="B8964F"/>
          <w:sz w:val="18"/>
        </w:rPr>
        <w:t>STANDARD OPERATING PROCEDURE</w:t>
      </w:r>
    </w:p>
    <w:p>
      <w:pPr>
        <w:spacing w:before="0" w:after="40"/>
      </w:pPr>
      <w:r>
        <w:rPr>
          <w:rFonts w:ascii="Cambria" w:hAnsi="Cambria"/>
          <w:b/>
          <w:color w:val="1B2A41"/>
          <w:sz w:val="52"/>
        </w:rPr>
        <w:t>Run a discovery call</w:t>
      </w:r>
    </w:p>
    <w:p>
      <w:pPr>
        <w:spacing w:before="0" w:after="80"/>
      </w:pPr>
      <w:r>
        <w:rPr>
          <w:rFonts w:ascii="Calibri" w:hAnsi="Calibri"/>
          <w:i/>
          <w:color w:val="6B6B6B"/>
          <w:sz w:val="20"/>
        </w:rPr>
        <w:t>Q3 2026 Bar &amp; Lounge Lead-Generation Campaign  ·  La Gaudière</w:t>
      </w:r>
    </w:p>
    <w:p>
      <w:pPr>
        <w:spacing w:before="0" w:after="160"/>
        <w:pBdr>
          <w:bottom w:val="single" w:sz="8" w:space="1" w:color="B8964F"/>
        </w:pBdr>
      </w:pPr>
    </w:p>
    <w:p>
      <w:pPr>
        <w:spacing w:before="0" w:after="200"/>
        <w:jc w:val="right"/>
      </w:pPr>
      <w:r>
        <w:drawing>
          <wp:inline xmlns:a="http://schemas.openxmlformats.org/drawingml/2006/main" xmlns:pic="http://schemas.openxmlformats.org/drawingml/2006/picture">
            <wp:extent cx="1463040" cy="4206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wordmar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420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40"/>
      </w:pPr>
      <w:r>
        <w:rPr>
          <w:rFonts w:ascii="Calibri" w:hAnsi="Calibri"/>
          <w:b/>
          <w:color w:val="1B2A41"/>
          <w:sz w:val="22"/>
        </w:rPr>
        <w:t>PURPOSE</w:t>
      </w:r>
    </w:p>
    <w:p>
      <w:pPr>
        <w:spacing w:before="0" w:after="80"/>
        <w:pBdr>
          <w:bottom w:val="single" w:sz="4" w:space="1" w:color="D4C9A8"/>
        </w:pBdr>
      </w:pPr>
    </w:p>
    <w:p>
      <w:pPr>
        <w:spacing w:after="120"/>
      </w:pPr>
      <w:r>
        <w:rPr>
          <w:rFonts w:ascii="Calibri" w:hAnsi="Calibri"/>
          <w:color w:val="1A1A1A"/>
          <w:sz w:val="21"/>
        </w:rPr>
        <w:t>The discovery call is where a Loom-watcher becomes a paying client. It's 20 minutes, opinionated, and ends with a clear next step. Skip the structure and the call drifts into a free consult; follow it and most calls close into either a Digital Presence Starter or a full website build before they end.</w:t>
      </w:r>
    </w:p>
    <w:p>
      <w:pPr>
        <w:spacing w:before="280" w:after="40"/>
      </w:pPr>
      <w:r>
        <w:rPr>
          <w:rFonts w:ascii="Calibri" w:hAnsi="Calibri"/>
          <w:b/>
          <w:color w:val="1B2A41"/>
          <w:sz w:val="22"/>
        </w:rPr>
        <w:t>PROCEDURE</w:t>
      </w:r>
    </w:p>
    <w:p>
      <w:pPr>
        <w:spacing w:before="0" w:after="80"/>
        <w:pBdr>
          <w:bottom w:val="single" w:sz="4" w:space="1" w:color="D4C9A8"/>
        </w:pBdr>
      </w:pPr>
    </w:p>
    <w:p>
      <w:pPr>
        <w:spacing w:before="160" w:after="40"/>
      </w:pPr>
      <w:r>
        <w:rPr>
          <w:rFonts w:ascii="Calibri" w:hAnsi="Calibri"/>
          <w:b/>
          <w:color w:val="1B2A41"/>
          <w:sz w:val="22"/>
        </w:rPr>
        <w:t>Inputs</w:t>
      </w:r>
    </w:p>
    <w:p>
      <w:pPr>
        <w:pStyle w:val="ListBullet"/>
        <w:spacing w:after="40"/>
      </w:pPr>
      <w:r>
        <w:rPr>
          <w:rFonts w:ascii="Calibri" w:hAnsi="Calibri"/>
          <w:color w:val="1A1A1A"/>
          <w:sz w:val="21"/>
        </w:rPr>
        <w:t>Confirmed Calendly slot with venue name and contact in the calendar invite</w:t>
      </w:r>
    </w:p>
    <w:p>
      <w:pPr>
        <w:pStyle w:val="ListBullet"/>
        <w:spacing w:after="40"/>
      </w:pPr>
      <w:r>
        <w:rPr>
          <w:rFonts w:ascii="Calibri" w:hAnsi="Calibri"/>
          <w:color w:val="1A1A1A"/>
          <w:sz w:val="21"/>
        </w:rPr>
        <w:t>Mockup Loom link, sent and viewed (check Loom analytics before the call)</w:t>
      </w:r>
    </w:p>
    <w:p>
      <w:pPr>
        <w:pStyle w:val="ListBullet"/>
        <w:spacing w:after="40"/>
      </w:pPr>
      <w:r>
        <w:rPr>
          <w:rFonts w:ascii="Calibri" w:hAnsi="Calibri"/>
          <w:color w:val="1A1A1A"/>
          <w:sz w:val="21"/>
        </w:rPr>
        <w:t>Lead tracker row open with the prospect's tier (A / B / C), source, and prior touchpoints</w:t>
      </w:r>
    </w:p>
    <w:p>
      <w:pPr>
        <w:pStyle w:val="ListBullet"/>
        <w:spacing w:after="40"/>
      </w:pPr>
      <w:r>
        <w:rPr>
          <w:rFonts w:ascii="Calibri" w:hAnsi="Calibri"/>
          <w:color w:val="1A1A1A"/>
          <w:sz w:val="21"/>
        </w:rPr>
        <w:t>Pricing one-pager PDF ready to send during or right after the call</w:t>
      </w:r>
    </w:p>
    <w:p>
      <w:pPr>
        <w:pStyle w:val="ListBullet"/>
        <w:spacing w:after="40"/>
      </w:pPr>
      <w:r>
        <w:rPr>
          <w:rFonts w:ascii="Calibri" w:hAnsi="Calibri"/>
          <w:color w:val="1A1A1A"/>
          <w:sz w:val="21"/>
        </w:rPr>
        <w:t>Quiet space, headphones, camera on</w:t>
      </w:r>
    </w:p>
    <w:p>
      <w:pPr>
        <w:spacing w:before="160" w:after="40"/>
      </w:pPr>
      <w:r>
        <w:rPr>
          <w:rFonts w:ascii="Calibri" w:hAnsi="Calibri"/>
          <w:b/>
          <w:color w:val="1B2A41"/>
          <w:sz w:val="22"/>
        </w:rPr>
        <w:t>Steps</w:t>
      </w:r>
    </w:p>
    <w:p>
      <w:pPr>
        <w:spacing w:before="160" w:after="40"/>
      </w:pPr>
      <w:r>
        <w:rPr>
          <w:rFonts w:ascii="Cambria" w:hAnsi="Cambria"/>
          <w:b/>
          <w:color w:val="B8964F"/>
          <w:sz w:val="22"/>
        </w:rPr>
        <w:t xml:space="preserve">01  </w:t>
      </w:r>
      <w:r>
        <w:rPr>
          <w:rFonts w:ascii="Calibri" w:hAnsi="Calibri"/>
          <w:b/>
          <w:color w:val="1B2A41"/>
          <w:sz w:val="23"/>
        </w:rPr>
        <w:t>Minutes 0–3: the venue's real situation is on the table</w:t>
      </w:r>
    </w:p>
    <w:p>
      <w:pPr>
        <w:spacing w:after="80"/>
        <w:ind w:left="510"/>
      </w:pPr>
      <w:r>
        <w:rPr>
          <w:rFonts w:ascii="Calibri" w:hAnsi="Calibri"/>
          <w:color w:val="1A1A1A"/>
          <w:sz w:val="21"/>
        </w:rPr>
        <w:t>Skip pleasantries fast. Ask three questions: what does the venue do, what's the slow night, and what's the goal for the next 6 months. Listen for the language they use about the problem — that's what you'll mirror back later.</w:t>
      </w:r>
    </w:p>
    <w:p>
      <w:pPr>
        <w:spacing w:before="160" w:after="40"/>
      </w:pPr>
      <w:r>
        <w:rPr>
          <w:rFonts w:ascii="Cambria" w:hAnsi="Cambria"/>
          <w:b/>
          <w:color w:val="B8964F"/>
          <w:sz w:val="22"/>
        </w:rPr>
        <w:t xml:space="preserve">02  </w:t>
      </w:r>
      <w:r>
        <w:rPr>
          <w:rFonts w:ascii="Calibri" w:hAnsi="Calibri"/>
          <w:b/>
          <w:color w:val="1B2A41"/>
          <w:sz w:val="23"/>
        </w:rPr>
        <w:t>Minutes 3–8: the mockup is walked through against their problem</w:t>
      </w:r>
    </w:p>
    <w:p>
      <w:pPr>
        <w:spacing w:after="80"/>
        <w:ind w:left="510"/>
      </w:pPr>
      <w:r>
        <w:rPr>
          <w:rFonts w:ascii="Calibri" w:hAnsi="Calibri"/>
          <w:color w:val="1A1A1A"/>
          <w:sz w:val="21"/>
        </w:rPr>
        <w:t>Share screen, open the Figma. For each section, name the problem it solves in their words. "You said weeknights are slow — this events strip is what fixes that." Don't sell features; sell the mapping from their problem to the mockup.</w:t>
      </w:r>
    </w:p>
    <w:p>
      <w:pPr>
        <w:spacing w:before="160" w:after="40"/>
      </w:pPr>
      <w:r>
        <w:rPr>
          <w:rFonts w:ascii="Cambria" w:hAnsi="Cambria"/>
          <w:b/>
          <w:color w:val="B8964F"/>
          <w:sz w:val="22"/>
        </w:rPr>
        <w:t xml:space="preserve">03  </w:t>
      </w:r>
      <w:r>
        <w:rPr>
          <w:rFonts w:ascii="Calibri" w:hAnsi="Calibri"/>
          <w:b/>
          <w:color w:val="1B2A41"/>
          <w:sz w:val="23"/>
        </w:rPr>
        <w:t>Minutes 8–13: the scope is settled out loud</w:t>
      </w:r>
    </w:p>
    <w:p>
      <w:pPr>
        <w:spacing w:after="80"/>
        <w:ind w:left="510"/>
      </w:pPr>
      <w:r>
        <w:rPr>
          <w:rFonts w:ascii="Calibri" w:hAnsi="Calibri"/>
          <w:color w:val="1A1A1A"/>
          <w:sz w:val="21"/>
        </w:rPr>
        <w:t>Confirm the site map (homepage, menu, events, gallery, link-in-bio). Ask three scope questions: do they need online reservations, do they want a menu CMS, do they need multilingual. Anything outside this is a v2 conversation, not v1.</w:t>
      </w:r>
    </w:p>
    <w:p>
      <w:pPr>
        <w:spacing w:before="160" w:after="40"/>
      </w:pPr>
      <w:r>
        <w:rPr>
          <w:rFonts w:ascii="Cambria" w:hAnsi="Cambria"/>
          <w:b/>
          <w:color w:val="B8964F"/>
          <w:sz w:val="22"/>
        </w:rPr>
        <w:t xml:space="preserve">04  </w:t>
      </w:r>
      <w:r>
        <w:rPr>
          <w:rFonts w:ascii="Calibri" w:hAnsi="Calibri"/>
          <w:b/>
          <w:color w:val="1B2A41"/>
          <w:sz w:val="23"/>
        </w:rPr>
        <w:t>Minutes 13–17: pricing and timeline are stated, not pitched</w:t>
      </w:r>
    </w:p>
    <w:p>
      <w:pPr>
        <w:spacing w:after="80"/>
        <w:ind w:left="510"/>
      </w:pPr>
      <w:r>
        <w:rPr>
          <w:rFonts w:ascii="Calibri" w:hAnsi="Calibri"/>
          <w:color w:val="1A1A1A"/>
          <w:sz w:val="21"/>
        </w:rPr>
        <w:t>State the two paths plainly. Path A: full website build, MUR 45,000 starting, live in 2–3 days, SEO included. Path B: Digital Presence Starter, MUR 4,000–5,000, link-in-bio plus optimised Google Business Profile, perfect as a stepping stone. No discount talk, no hedging.</w:t>
      </w:r>
    </w:p>
    <w:p>
      <w:pPr>
        <w:spacing w:before="160" w:after="40"/>
      </w:pPr>
      <w:r>
        <w:rPr>
          <w:rFonts w:ascii="Cambria" w:hAnsi="Cambria"/>
          <w:b/>
          <w:color w:val="B8964F"/>
          <w:sz w:val="22"/>
        </w:rPr>
        <w:t xml:space="preserve">05  </w:t>
      </w:r>
      <w:r>
        <w:rPr>
          <w:rFonts w:ascii="Calibri" w:hAnsi="Calibri"/>
          <w:b/>
          <w:color w:val="1B2A41"/>
          <w:sz w:val="23"/>
        </w:rPr>
        <w:t>Minutes 17–20: the next step is concrete and timed</w:t>
      </w:r>
    </w:p>
    <w:p>
      <w:pPr>
        <w:spacing w:after="80"/>
        <w:ind w:left="510"/>
      </w:pPr>
      <w:r>
        <w:rPr>
          <w:rFonts w:ascii="Calibri" w:hAnsi="Calibri"/>
          <w:color w:val="1A1A1A"/>
          <w:sz w:val="21"/>
        </w:rPr>
        <w:t>Pick one of three closes. Close 1 — full build: "I'll send the proposal and invoice today, kickoff Wednesday." Close 2 — Starter: "Confirm the domain you want, I'll start within 48 hours." Close 3 — not now: "I'll send the one-pager, follow up in 30 days, no pressure." Whichever close lands, send the matching artifact within 60 minutes of the call ending.</w:t>
      </w:r>
    </w:p>
    <w:p>
      <w:pPr>
        <w:spacing w:before="280" w:after="40"/>
      </w:pPr>
      <w:r>
        <w:rPr>
          <w:rFonts w:ascii="Calibri" w:hAnsi="Calibri"/>
          <w:b/>
          <w:color w:val="1B2A41"/>
          <w:sz w:val="22"/>
        </w:rPr>
        <w:t>OUTPUTS</w:t>
      </w:r>
    </w:p>
    <w:p>
      <w:pPr>
        <w:spacing w:before="0" w:after="80"/>
        <w:pBdr>
          <w:bottom w:val="single" w:sz="4" w:space="1" w:color="D4C9A8"/>
        </w:pBdr>
      </w:pPr>
    </w:p>
    <w:p>
      <w:pPr>
        <w:pStyle w:val="ListBullet"/>
        <w:spacing w:after="40"/>
      </w:pPr>
      <w:r>
        <w:rPr>
          <w:rFonts w:ascii="Calibri" w:hAnsi="Calibri"/>
          <w:color w:val="1A1A1A"/>
          <w:sz w:val="21"/>
        </w:rPr>
        <w:t>The lead tracker is updated with call notes, scope confirmed, and outcome (Build Sold / Starter Sold / Nurture)</w:t>
      </w:r>
    </w:p>
    <w:p>
      <w:pPr>
        <w:pStyle w:val="ListBullet"/>
        <w:spacing w:after="40"/>
      </w:pPr>
      <w:r>
        <w:rPr>
          <w:rFonts w:ascii="Calibri" w:hAnsi="Calibri"/>
          <w:color w:val="1A1A1A"/>
          <w:sz w:val="21"/>
        </w:rPr>
        <w:t>Within 60 minutes: proposal + invoice sent (Build), kickoff confirmation sent (Starter), or one-pager + 30-day follow-up scheduled (Nurture)</w:t>
      </w:r>
    </w:p>
    <w:p>
      <w:pPr>
        <w:pStyle w:val="ListBullet"/>
        <w:spacing w:after="40"/>
      </w:pPr>
      <w:r>
        <w:rPr>
          <w:rFonts w:ascii="Calibri" w:hAnsi="Calibri"/>
          <w:color w:val="1A1A1A"/>
          <w:sz w:val="21"/>
        </w:rPr>
        <w:t>If a build was sold, the retainer pitch is queued for the kickoff call — not pitched on this call</w:t>
      </w:r>
    </w:p>
    <w:p>
      <w:pPr>
        <w:pStyle w:val="ListBullet"/>
        <w:spacing w:after="40"/>
      </w:pPr>
      <w:r>
        <w:rPr>
          <w:rFonts w:ascii="Calibri" w:hAnsi="Calibri"/>
          <w:color w:val="1A1A1A"/>
          <w:sz w:val="21"/>
        </w:rPr>
        <w:t>→ See SOP: Produce a venue website mockup (the upstream step) and SOP: Weekly campaign run cadence (where the outcome gets reviewed)</w:t>
      </w:r>
    </w:p>
    <w:p>
      <w:pPr>
        <w:spacing w:before="280" w:after="40"/>
      </w:pPr>
      <w:r>
        <w:rPr>
          <w:rFonts w:ascii="Calibri" w:hAnsi="Calibri"/>
          <w:b/>
          <w:color w:val="1B2A41"/>
          <w:sz w:val="22"/>
        </w:rPr>
        <w:t>FAQS</w:t>
      </w:r>
    </w:p>
    <w:p>
      <w:pPr>
        <w:spacing w:before="0" w:after="80"/>
        <w:pBdr>
          <w:bottom w:val="single" w:sz="4" w:space="1" w:color="D4C9A8"/>
        </w:pBdr>
      </w:pPr>
    </w:p>
    <w:p>
      <w:pPr>
        <w:spacing w:before="160" w:after="40"/>
      </w:pPr>
      <w:r>
        <w:rPr>
          <w:rFonts w:ascii="Calibri" w:hAnsi="Calibri"/>
          <w:b/>
          <w:color w:val="1B2A41"/>
          <w:sz w:val="21"/>
        </w:rPr>
        <w:t>Q.  What if they ask for a discount?</w:t>
      </w:r>
    </w:p>
    <w:p>
      <w:pPr>
        <w:spacing w:after="40"/>
        <w:ind w:left="283"/>
      </w:pPr>
      <w:r>
        <w:rPr>
          <w:rFonts w:ascii="Calibri" w:hAnsi="Calibri"/>
          <w:color w:val="1A1A1A"/>
          <w:sz w:val="21"/>
        </w:rPr>
        <w:t>Say no, in one sentence: "Pricing is what it is — the value is in the speed and the niche fit." If price is a real blocker, offer the Digital Presence Starter as a stepping stone. Never discount the full build.</w:t>
      </w:r>
    </w:p>
    <w:p>
      <w:pPr>
        <w:spacing w:before="160" w:after="40"/>
      </w:pPr>
      <w:r>
        <w:rPr>
          <w:rFonts w:ascii="Calibri" w:hAnsi="Calibri"/>
          <w:b/>
          <w:color w:val="1B2A41"/>
          <w:sz w:val="21"/>
        </w:rPr>
        <w:t>Q.  What if they want to think about it?</w:t>
      </w:r>
    </w:p>
    <w:p>
      <w:pPr>
        <w:spacing w:after="40"/>
        <w:ind w:left="283"/>
      </w:pPr>
      <w:r>
        <w:rPr>
          <w:rFonts w:ascii="Calibri" w:hAnsi="Calibri"/>
          <w:color w:val="1A1A1A"/>
          <w:sz w:val="21"/>
        </w:rPr>
        <w:t>Fine, but get a specific time. "Happy to follow up — Tuesday morning or Thursday afternoon?" Vague follow-ups die. A booked follow-up converts at roughly 4× the rate.</w:t>
      </w:r>
    </w:p>
    <w:p>
      <w:pPr>
        <w:spacing w:before="160" w:after="40"/>
      </w:pPr>
      <w:r>
        <w:rPr>
          <w:rFonts w:ascii="Calibri" w:hAnsi="Calibri"/>
          <w:b/>
          <w:color w:val="1B2A41"/>
          <w:sz w:val="21"/>
        </w:rPr>
        <w:t>Q.  What if they ask for references or case studies?</w:t>
      </w:r>
    </w:p>
    <w:p>
      <w:pPr>
        <w:spacing w:after="40"/>
        <w:ind w:left="283"/>
      </w:pPr>
      <w:r>
        <w:rPr>
          <w:rFonts w:ascii="Calibri" w:hAnsi="Calibri"/>
          <w:color w:val="1A1A1A"/>
          <w:sz w:val="21"/>
        </w:rPr>
        <w:t>Until proof points exist, lean on the mockup itself: "You've already seen what your venue could look like. The work happens in 2–3 days from kickoff. If that's not enough, the Digital Presence Starter at MUR 4–5K is a low-risk way to see the work first-hand."</w:t>
      </w:r>
    </w:p>
    <w:p>
      <w:pPr>
        <w:spacing w:before="160" w:after="40"/>
      </w:pPr>
      <w:r>
        <w:rPr>
          <w:rFonts w:ascii="Calibri" w:hAnsi="Calibri"/>
          <w:b/>
          <w:color w:val="1B2A41"/>
          <w:sz w:val="21"/>
        </w:rPr>
        <w:t>Q.  What if the call runs over 20 minutes?</w:t>
      </w:r>
    </w:p>
    <w:p>
      <w:pPr>
        <w:spacing w:after="40"/>
        <w:ind w:left="283"/>
      </w:pPr>
      <w:r>
        <w:rPr>
          <w:rFonts w:ascii="Calibri" w:hAnsi="Calibri"/>
          <w:color w:val="1A1A1A"/>
          <w:sz w:val="21"/>
        </w:rPr>
        <w:t>Cut at 25. Past 25 minutes the conversion rate drops. Politely say you have a hard stop, send the artifact for the close path, and book a follow-up if needed.</w:t>
      </w:r>
    </w:p>
    <w:sectPr w:rsidR="00FC693F" w:rsidRPr="0006063C" w:rsidSect="00034616">
      <w:footerReference w:type="default" r:id="rId9"/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i/>
        <w:color w:val="6B6B6B"/>
        <w:sz w:val="17"/>
      </w:rPr>
      <w:t>La Gaudière  ·  Web Agency  ·  Mauritius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